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3A6" w:rsidRPr="00DD5BD5" w:rsidRDefault="00374803" w:rsidP="00DD5BD5">
      <w:pPr>
        <w:pStyle w:val="TOCHeading"/>
        <w:spacing w:after="0" w:line="240" w:lineRule="auto"/>
        <w:rPr>
          <w:rFonts w:ascii="Times New Roman" w:hAnsi="Times New Roman"/>
        </w:rPr>
      </w:pPr>
      <w:r>
        <w:rPr>
          <w:rFonts w:ascii="Times New Roman" w:hAnsi="Times New Roman"/>
          <w:b w:val="0"/>
          <w:bCs w:val="0"/>
        </w:rPr>
        <w:drawing>
          <wp:anchor distT="0" distB="0" distL="114300" distR="114300" simplePos="0" relativeHeight="251657216" behindDoc="0" locked="0" layoutInCell="1" allowOverlap="1">
            <wp:simplePos x="0" y="0"/>
            <wp:positionH relativeFrom="column">
              <wp:posOffset>2136775</wp:posOffset>
            </wp:positionH>
            <wp:positionV relativeFrom="paragraph">
              <wp:posOffset>-231775</wp:posOffset>
            </wp:positionV>
            <wp:extent cx="1382395" cy="1320800"/>
            <wp:effectExtent l="19050" t="0" r="825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382395" cy="1320800"/>
                    </a:xfrm>
                    <a:prstGeom prst="rect">
                      <a:avLst/>
                    </a:prstGeom>
                    <a:noFill/>
                    <a:ln w="9525">
                      <a:noFill/>
                      <a:miter lim="800000"/>
                      <a:headEnd/>
                      <a:tailEnd/>
                    </a:ln>
                  </pic:spPr>
                </pic:pic>
              </a:graphicData>
            </a:graphic>
          </wp:anchor>
        </w:drawing>
      </w:r>
      <w:r w:rsidR="00961BCA">
        <w:rPr>
          <w:rFonts w:ascii="Times New Roman" w:hAnsi="Times New Roman"/>
        </w:rPr>
        <w:t xml:space="preserve"> </w:t>
      </w:r>
    </w:p>
    <w:p w:rsidR="007B13A6" w:rsidRPr="00DD5BD5" w:rsidRDefault="007B13A6" w:rsidP="00DD5BD5">
      <w:pPr>
        <w:pStyle w:val="TOCHeading"/>
        <w:spacing w:after="0" w:line="240" w:lineRule="auto"/>
        <w:rPr>
          <w:rFonts w:ascii="Times New Roman" w:hAnsi="Times New Roman"/>
        </w:rPr>
      </w:pPr>
    </w:p>
    <w:p w:rsidR="007B13A6" w:rsidRPr="00DD5BD5" w:rsidRDefault="007B13A6" w:rsidP="00DD5BD5">
      <w:pPr>
        <w:pStyle w:val="TOCHeading"/>
        <w:spacing w:after="0" w:line="240" w:lineRule="auto"/>
        <w:rPr>
          <w:rFonts w:ascii="Times New Roman" w:hAnsi="Times New Roman"/>
        </w:rPr>
      </w:pPr>
    </w:p>
    <w:p w:rsidR="007B13A6" w:rsidRPr="00DD5BD5" w:rsidRDefault="007B13A6" w:rsidP="00DD5BD5">
      <w:pPr>
        <w:pStyle w:val="TOCHeading"/>
        <w:spacing w:after="0" w:line="240" w:lineRule="auto"/>
        <w:rPr>
          <w:rFonts w:ascii="Times New Roman" w:hAnsi="Times New Roman"/>
        </w:rPr>
      </w:pPr>
    </w:p>
    <w:p w:rsidR="0099326E" w:rsidRDefault="0099326E" w:rsidP="00DD5BD5">
      <w:pPr>
        <w:spacing w:before="0" w:after="0" w:line="240" w:lineRule="auto"/>
        <w:jc w:val="center"/>
        <w:rPr>
          <w:rFonts w:ascii="Times New Roman" w:hAnsi="Times New Roman"/>
          <w:b/>
          <w:sz w:val="32"/>
          <w:szCs w:val="32"/>
        </w:rPr>
      </w:pPr>
    </w:p>
    <w:p w:rsidR="0099326E" w:rsidRDefault="0099326E" w:rsidP="00DD5BD5">
      <w:pPr>
        <w:spacing w:before="0" w:after="0" w:line="240" w:lineRule="auto"/>
        <w:jc w:val="center"/>
        <w:rPr>
          <w:rFonts w:ascii="Times New Roman" w:hAnsi="Times New Roman"/>
          <w:b/>
          <w:sz w:val="32"/>
          <w:szCs w:val="32"/>
        </w:rPr>
      </w:pPr>
    </w:p>
    <w:p w:rsidR="007B13A6" w:rsidRPr="00DD5BD5" w:rsidRDefault="007B13A6" w:rsidP="00DD5BD5">
      <w:pPr>
        <w:spacing w:before="0" w:after="0" w:line="240" w:lineRule="auto"/>
        <w:jc w:val="center"/>
        <w:rPr>
          <w:rFonts w:ascii="Times New Roman" w:hAnsi="Times New Roman"/>
          <w:b/>
          <w:sz w:val="32"/>
          <w:szCs w:val="32"/>
        </w:rPr>
      </w:pPr>
      <w:r w:rsidRPr="00DD5BD5">
        <w:rPr>
          <w:rFonts w:ascii="Times New Roman" w:hAnsi="Times New Roman"/>
          <w:b/>
          <w:sz w:val="32"/>
          <w:szCs w:val="32"/>
        </w:rPr>
        <w:t xml:space="preserve">GOVERNMENT OF </w:t>
      </w:r>
      <w:smartTag w:uri="urn:schemas-microsoft-com:office:smarttags" w:element="country-region">
        <w:smartTag w:uri="urn:schemas-microsoft-com:office:smarttags" w:element="place">
          <w:r w:rsidRPr="00DD5BD5">
            <w:rPr>
              <w:rFonts w:ascii="Times New Roman" w:hAnsi="Times New Roman"/>
              <w:b/>
              <w:sz w:val="32"/>
              <w:szCs w:val="32"/>
            </w:rPr>
            <w:t>KENYA</w:t>
          </w:r>
        </w:smartTag>
      </w:smartTag>
    </w:p>
    <w:p w:rsidR="007B13A6" w:rsidRPr="00DD5BD5" w:rsidRDefault="007B13A6" w:rsidP="00DD5BD5">
      <w:pPr>
        <w:spacing w:before="0" w:after="0" w:line="240" w:lineRule="auto"/>
        <w:jc w:val="center"/>
        <w:rPr>
          <w:rFonts w:ascii="Times New Roman" w:hAnsi="Times New Roman"/>
          <w:b/>
          <w:sz w:val="32"/>
          <w:szCs w:val="32"/>
        </w:rPr>
      </w:pPr>
      <w:r w:rsidRPr="00DD5BD5">
        <w:rPr>
          <w:rFonts w:ascii="Times New Roman" w:hAnsi="Times New Roman"/>
          <w:b/>
          <w:sz w:val="32"/>
          <w:szCs w:val="32"/>
        </w:rPr>
        <w:t>OFFICE OF THE PRIME MINISTER</w:t>
      </w:r>
    </w:p>
    <w:p w:rsidR="007B13A6" w:rsidRPr="00DD5BD5" w:rsidRDefault="007B13A6" w:rsidP="00DD5BD5">
      <w:pPr>
        <w:spacing w:before="0" w:after="0" w:line="240" w:lineRule="auto"/>
        <w:jc w:val="center"/>
        <w:rPr>
          <w:rFonts w:ascii="Times New Roman" w:hAnsi="Times New Roman"/>
          <w:b/>
          <w:sz w:val="36"/>
          <w:szCs w:val="36"/>
        </w:rPr>
      </w:pPr>
    </w:p>
    <w:p w:rsidR="007B13A6" w:rsidRPr="00DD5BD5" w:rsidRDefault="007B13A6" w:rsidP="00DD5BD5">
      <w:pPr>
        <w:spacing w:before="0" w:after="0" w:line="240" w:lineRule="auto"/>
        <w:jc w:val="center"/>
        <w:rPr>
          <w:rFonts w:ascii="Times New Roman" w:hAnsi="Times New Roman"/>
          <w:b/>
          <w:sz w:val="36"/>
          <w:szCs w:val="36"/>
        </w:rPr>
      </w:pPr>
    </w:p>
    <w:tbl>
      <w:tblPr>
        <w:tblpPr w:leftFromText="187" w:rightFromText="187" w:vertAnchor="page" w:horzAnchor="margin" w:tblpXSpec="center" w:tblpY="6121"/>
        <w:tblW w:w="3648" w:type="pct"/>
        <w:tblBorders>
          <w:top w:val="single" w:sz="36" w:space="0" w:color="9BBB59"/>
          <w:bottom w:val="single" w:sz="36" w:space="0" w:color="9BBB59"/>
          <w:insideH w:val="single" w:sz="36" w:space="0" w:color="9BBB59"/>
        </w:tblBorders>
        <w:tblCellMar>
          <w:top w:w="360" w:type="dxa"/>
          <w:left w:w="115" w:type="dxa"/>
          <w:bottom w:w="360" w:type="dxa"/>
          <w:right w:w="115" w:type="dxa"/>
        </w:tblCellMar>
        <w:tblLook w:val="04A0"/>
      </w:tblPr>
      <w:tblGrid>
        <w:gridCol w:w="6997"/>
      </w:tblGrid>
      <w:tr w:rsidR="007B13A6" w:rsidRPr="00DD5BD5">
        <w:trPr>
          <w:trHeight w:val="2270"/>
        </w:trPr>
        <w:tc>
          <w:tcPr>
            <w:tcW w:w="5000" w:type="pct"/>
          </w:tcPr>
          <w:p w:rsidR="007B13A6" w:rsidRPr="00DD5BD5" w:rsidRDefault="005459B2" w:rsidP="00DD5BD5">
            <w:pPr>
              <w:pStyle w:val="NoSpacing"/>
              <w:jc w:val="center"/>
              <w:rPr>
                <w:rFonts w:ascii="Times New Roman" w:eastAsia="Times New Roman" w:hAnsi="Times New Roman"/>
                <w:b/>
                <w:sz w:val="56"/>
                <w:szCs w:val="56"/>
              </w:rPr>
            </w:pPr>
            <w:r>
              <w:rPr>
                <w:rFonts w:ascii="Times New Roman" w:eastAsia="Times New Roman" w:hAnsi="Times New Roman"/>
                <w:b/>
                <w:sz w:val="56"/>
                <w:szCs w:val="56"/>
              </w:rPr>
              <w:t>Competitive</w:t>
            </w:r>
            <w:r w:rsidR="001A54B1">
              <w:rPr>
                <w:rFonts w:ascii="Times New Roman" w:eastAsia="Times New Roman" w:hAnsi="Times New Roman"/>
                <w:b/>
                <w:sz w:val="56"/>
                <w:szCs w:val="56"/>
              </w:rPr>
              <w:t xml:space="preserve"> </w:t>
            </w:r>
            <w:r>
              <w:rPr>
                <w:rFonts w:ascii="Times New Roman" w:eastAsia="Times New Roman" w:hAnsi="Times New Roman"/>
                <w:b/>
                <w:sz w:val="56"/>
                <w:szCs w:val="56"/>
              </w:rPr>
              <w:t>Partnerships</w:t>
            </w:r>
            <w:r w:rsidR="007B13A6" w:rsidRPr="00DD5BD5">
              <w:rPr>
                <w:rFonts w:ascii="Times New Roman" w:eastAsia="Times New Roman" w:hAnsi="Times New Roman"/>
                <w:b/>
                <w:sz w:val="56"/>
                <w:szCs w:val="56"/>
              </w:rPr>
              <w:t xml:space="preserve"> </w:t>
            </w:r>
            <w:r>
              <w:rPr>
                <w:rFonts w:ascii="Times New Roman" w:eastAsia="Times New Roman" w:hAnsi="Times New Roman"/>
                <w:b/>
                <w:sz w:val="56"/>
                <w:szCs w:val="56"/>
              </w:rPr>
              <w:t xml:space="preserve">Initiative </w:t>
            </w:r>
            <w:r w:rsidR="007B13A6" w:rsidRPr="00DD5BD5">
              <w:rPr>
                <w:rFonts w:ascii="Times New Roman" w:eastAsia="Times New Roman" w:hAnsi="Times New Roman"/>
                <w:b/>
                <w:sz w:val="56"/>
                <w:szCs w:val="56"/>
              </w:rPr>
              <w:t>for Kenya</w:t>
            </w:r>
          </w:p>
        </w:tc>
      </w:tr>
      <w:tr w:rsidR="007B13A6" w:rsidRPr="00DD5BD5">
        <w:trPr>
          <w:trHeight w:val="783"/>
        </w:trPr>
        <w:tc>
          <w:tcPr>
            <w:tcW w:w="5000" w:type="pct"/>
          </w:tcPr>
          <w:p w:rsidR="007B13A6" w:rsidRPr="00DD5BD5" w:rsidRDefault="007B13A6" w:rsidP="00DD5BD5">
            <w:pPr>
              <w:pStyle w:val="NoSpacing"/>
              <w:jc w:val="center"/>
              <w:rPr>
                <w:rFonts w:ascii="Times New Roman" w:hAnsi="Times New Roman"/>
                <w:b/>
                <w:sz w:val="40"/>
                <w:szCs w:val="40"/>
              </w:rPr>
            </w:pPr>
            <w:r w:rsidRPr="00DD5BD5">
              <w:rPr>
                <w:rFonts w:ascii="Times New Roman" w:hAnsi="Times New Roman"/>
                <w:b/>
                <w:sz w:val="40"/>
                <w:szCs w:val="40"/>
              </w:rPr>
              <w:t>Concept Paper</w:t>
            </w:r>
          </w:p>
        </w:tc>
      </w:tr>
      <w:tr w:rsidR="007B13A6" w:rsidRPr="00DD5BD5">
        <w:trPr>
          <w:trHeight w:val="462"/>
        </w:trPr>
        <w:tc>
          <w:tcPr>
            <w:tcW w:w="5000" w:type="pct"/>
          </w:tcPr>
          <w:p w:rsidR="007B13A6" w:rsidRPr="00DD5BD5" w:rsidRDefault="0099326E" w:rsidP="00DD5BD5">
            <w:pPr>
              <w:pStyle w:val="NoSpacing"/>
              <w:jc w:val="center"/>
              <w:rPr>
                <w:rFonts w:ascii="Times New Roman" w:hAnsi="Times New Roman"/>
                <w:b/>
                <w:sz w:val="28"/>
                <w:szCs w:val="28"/>
              </w:rPr>
            </w:pPr>
            <w:r>
              <w:rPr>
                <w:rFonts w:ascii="Times New Roman" w:hAnsi="Times New Roman"/>
                <w:b/>
                <w:sz w:val="28"/>
                <w:szCs w:val="28"/>
              </w:rPr>
              <w:t xml:space="preserve">December </w:t>
            </w:r>
            <w:r w:rsidR="007B13A6" w:rsidRPr="00DD5BD5">
              <w:rPr>
                <w:rFonts w:ascii="Times New Roman" w:hAnsi="Times New Roman"/>
                <w:b/>
                <w:sz w:val="28"/>
                <w:szCs w:val="28"/>
              </w:rPr>
              <w:t>2010</w:t>
            </w:r>
          </w:p>
        </w:tc>
      </w:tr>
    </w:tbl>
    <w:p w:rsidR="007B13A6" w:rsidRPr="00DD5BD5" w:rsidRDefault="007B13A6" w:rsidP="00DD5BD5">
      <w:pPr>
        <w:spacing w:before="0" w:after="0" w:line="240" w:lineRule="auto"/>
        <w:jc w:val="center"/>
        <w:rPr>
          <w:rFonts w:ascii="Times New Roman" w:hAnsi="Times New Roman"/>
          <w:b/>
          <w:bCs/>
        </w:rPr>
      </w:pPr>
    </w:p>
    <w:p w:rsidR="007B13A6" w:rsidRPr="00DD5BD5" w:rsidRDefault="007B13A6" w:rsidP="00DD5BD5">
      <w:pPr>
        <w:spacing w:before="0" w:after="0" w:line="240" w:lineRule="auto"/>
        <w:jc w:val="center"/>
        <w:rPr>
          <w:rFonts w:ascii="Times New Roman" w:hAnsi="Times New Roman"/>
          <w:b/>
          <w:bCs/>
        </w:rPr>
      </w:pPr>
    </w:p>
    <w:p w:rsidR="007B13A6" w:rsidRPr="00DD5BD5" w:rsidRDefault="007B13A6" w:rsidP="00DD5BD5">
      <w:pPr>
        <w:spacing w:before="0" w:after="0" w:line="240" w:lineRule="auto"/>
        <w:jc w:val="center"/>
        <w:rPr>
          <w:rFonts w:ascii="Times New Roman" w:hAnsi="Times New Roman"/>
          <w:b/>
          <w:bCs/>
        </w:rPr>
      </w:pPr>
    </w:p>
    <w:p w:rsidR="007B13A6" w:rsidRPr="00DD5BD5" w:rsidRDefault="007B13A6" w:rsidP="00DD5BD5">
      <w:pPr>
        <w:spacing w:before="0" w:after="0" w:line="240" w:lineRule="auto"/>
        <w:jc w:val="center"/>
        <w:rPr>
          <w:rFonts w:ascii="Times New Roman" w:hAnsi="Times New Roman"/>
          <w:b/>
          <w:bCs/>
        </w:rPr>
      </w:pPr>
    </w:p>
    <w:p w:rsidR="007B13A6" w:rsidRPr="00DD5BD5" w:rsidRDefault="007B13A6" w:rsidP="00DD5BD5">
      <w:pPr>
        <w:spacing w:before="0" w:after="0" w:line="240" w:lineRule="auto"/>
        <w:rPr>
          <w:rFonts w:ascii="Times New Roman" w:hAnsi="Times New Roman"/>
        </w:rPr>
      </w:pPr>
    </w:p>
    <w:p w:rsidR="007B13A6" w:rsidRPr="00DD5BD5" w:rsidRDefault="00450342" w:rsidP="00DD5BD5">
      <w:pPr>
        <w:spacing w:before="0" w:after="0" w:line="240" w:lineRule="auto"/>
        <w:rPr>
          <w:rFonts w:ascii="Times New Roman" w:hAnsi="Times New Roman"/>
          <w:b/>
          <w:sz w:val="28"/>
          <w:szCs w:val="28"/>
        </w:rPr>
      </w:pPr>
      <w:r w:rsidRPr="00450342">
        <w:rPr>
          <w:rFonts w:ascii="Times New Roman" w:hAnsi="Times New Roman"/>
          <w:b/>
          <w:bCs/>
          <w:lang w:eastAsia="zh-TW"/>
        </w:rPr>
        <w:pict>
          <v:shapetype id="_x0000_t202" coordsize="21600,21600" o:spt="202" path="m,l,21600r21600,l21600,xe">
            <v:stroke joinstyle="miter"/>
            <v:path gradientshapeok="t" o:connecttype="rect"/>
          </v:shapetype>
          <v:shape id="_x0000_s1027" type="#_x0000_t202" style="position:absolute;margin-left:-53.55pt;margin-top:29.1pt;width:74.05pt;height:144.8pt;z-index:251658240;mso-width-relative:margin;mso-height-relative:margin" filled="f" strokecolor="white" strokeweight="1pt">
            <v:stroke dashstyle="dash"/>
            <v:shadow color="#868686"/>
            <v:textbox>
              <w:txbxContent>
                <w:p w:rsidR="007B13A6" w:rsidRPr="00785CA2" w:rsidRDefault="007B13A6" w:rsidP="007B13A6">
                  <w:pPr>
                    <w:rPr>
                      <w:sz w:val="16"/>
                      <w:szCs w:val="16"/>
                    </w:rPr>
                  </w:pPr>
                </w:p>
                <w:p w:rsidR="007B13A6" w:rsidRPr="00785CA2" w:rsidRDefault="007B13A6" w:rsidP="007B13A6">
                  <w:pPr>
                    <w:rPr>
                      <w:sz w:val="16"/>
                      <w:szCs w:val="16"/>
                    </w:rPr>
                  </w:pPr>
                </w:p>
                <w:p w:rsidR="007B13A6" w:rsidRPr="00785CA2" w:rsidRDefault="007B13A6" w:rsidP="007B13A6">
                  <w:pPr>
                    <w:rPr>
                      <w:sz w:val="16"/>
                      <w:szCs w:val="16"/>
                    </w:rPr>
                  </w:pPr>
                </w:p>
              </w:txbxContent>
            </v:textbox>
          </v:shape>
        </w:pict>
      </w:r>
      <w:r w:rsidR="007B13A6" w:rsidRPr="00DD5BD5">
        <w:rPr>
          <w:rFonts w:ascii="Times New Roman" w:hAnsi="Times New Roman"/>
        </w:rPr>
        <w:br w:type="page"/>
      </w:r>
    </w:p>
    <w:p w:rsidR="009B3DFC" w:rsidRPr="00DD5BD5" w:rsidRDefault="00E86A12" w:rsidP="00DD5BD5">
      <w:pPr>
        <w:spacing w:before="0" w:after="0" w:line="240" w:lineRule="auto"/>
        <w:jc w:val="both"/>
        <w:rPr>
          <w:rFonts w:ascii="Times New Roman" w:hAnsi="Times New Roman"/>
          <w:b/>
          <w:sz w:val="24"/>
          <w:szCs w:val="24"/>
        </w:rPr>
      </w:pPr>
      <w:r>
        <w:rPr>
          <w:rFonts w:ascii="Times New Roman" w:hAnsi="Times New Roman"/>
          <w:b/>
          <w:sz w:val="24"/>
          <w:szCs w:val="24"/>
        </w:rPr>
        <w:lastRenderedPageBreak/>
        <w:t xml:space="preserve">1.0 </w:t>
      </w:r>
      <w:r w:rsidR="009B3DFC" w:rsidRPr="00DD5BD5">
        <w:rPr>
          <w:rFonts w:ascii="Times New Roman" w:hAnsi="Times New Roman"/>
          <w:b/>
          <w:sz w:val="24"/>
          <w:szCs w:val="24"/>
        </w:rPr>
        <w:t>Objective</w:t>
      </w:r>
    </w:p>
    <w:p w:rsidR="00B66F15" w:rsidRPr="00DD5BD5" w:rsidRDefault="00B66F15" w:rsidP="00DD5BD5">
      <w:pPr>
        <w:spacing w:before="0" w:after="0" w:line="240" w:lineRule="auto"/>
        <w:jc w:val="both"/>
        <w:rPr>
          <w:rFonts w:ascii="Times New Roman" w:hAnsi="Times New Roman"/>
          <w:b/>
          <w:sz w:val="24"/>
          <w:szCs w:val="24"/>
        </w:rPr>
      </w:pPr>
    </w:p>
    <w:p w:rsidR="00F215FA" w:rsidRDefault="00F215FA" w:rsidP="00F215FA">
      <w:pPr>
        <w:autoSpaceDE w:val="0"/>
        <w:autoSpaceDN w:val="0"/>
        <w:adjustRightInd w:val="0"/>
        <w:spacing w:before="0" w:after="0" w:line="240" w:lineRule="auto"/>
        <w:jc w:val="both"/>
        <w:rPr>
          <w:rFonts w:ascii="Times New Roman" w:hAnsi="Times New Roman"/>
          <w:sz w:val="24"/>
          <w:szCs w:val="24"/>
        </w:rPr>
      </w:pPr>
      <w:r w:rsidRPr="00F215FA">
        <w:rPr>
          <w:rFonts w:ascii="Times New Roman" w:hAnsi="Times New Roman"/>
          <w:sz w:val="24"/>
          <w:szCs w:val="24"/>
        </w:rPr>
        <w:t>The purpose of this note is</w:t>
      </w:r>
      <w:r w:rsidR="001A54B1">
        <w:rPr>
          <w:rFonts w:ascii="Times New Roman" w:hAnsi="Times New Roman"/>
          <w:sz w:val="24"/>
          <w:szCs w:val="24"/>
        </w:rPr>
        <w:t xml:space="preserve"> to propose a </w:t>
      </w:r>
      <w:r w:rsidR="0094491F">
        <w:rPr>
          <w:rFonts w:ascii="Times New Roman" w:hAnsi="Times New Roman"/>
          <w:sz w:val="24"/>
          <w:szCs w:val="24"/>
        </w:rPr>
        <w:t>public</w:t>
      </w:r>
      <w:r w:rsidR="001A54B1">
        <w:rPr>
          <w:rFonts w:ascii="Times New Roman" w:hAnsi="Times New Roman"/>
          <w:sz w:val="24"/>
          <w:szCs w:val="24"/>
        </w:rPr>
        <w:t xml:space="preserve">-private partnership </w:t>
      </w:r>
      <w:r w:rsidRPr="00F215FA">
        <w:rPr>
          <w:rFonts w:ascii="Times New Roman" w:hAnsi="Times New Roman"/>
          <w:sz w:val="24"/>
          <w:szCs w:val="24"/>
        </w:rPr>
        <w:t>approach for improvement of productivity and competitiveness of key economic sectors in Kenya.</w:t>
      </w:r>
    </w:p>
    <w:p w:rsidR="00F215FA" w:rsidRPr="00F215FA" w:rsidRDefault="00F215FA" w:rsidP="00F215FA">
      <w:pPr>
        <w:autoSpaceDE w:val="0"/>
        <w:autoSpaceDN w:val="0"/>
        <w:adjustRightInd w:val="0"/>
        <w:spacing w:before="0" w:after="0" w:line="240" w:lineRule="auto"/>
        <w:jc w:val="both"/>
        <w:rPr>
          <w:rFonts w:ascii="Times New Roman" w:hAnsi="Times New Roman"/>
          <w:sz w:val="24"/>
          <w:szCs w:val="24"/>
        </w:rPr>
      </w:pPr>
    </w:p>
    <w:p w:rsidR="00F215FA" w:rsidRDefault="00F215FA" w:rsidP="0038554A">
      <w:pPr>
        <w:autoSpaceDE w:val="0"/>
        <w:autoSpaceDN w:val="0"/>
        <w:adjustRightInd w:val="0"/>
        <w:spacing w:before="0" w:after="0" w:line="240" w:lineRule="auto"/>
        <w:jc w:val="both"/>
        <w:rPr>
          <w:rFonts w:ascii="Times New Roman" w:hAnsi="Times New Roman"/>
          <w:sz w:val="24"/>
          <w:szCs w:val="24"/>
        </w:rPr>
      </w:pPr>
      <w:r>
        <w:rPr>
          <w:rFonts w:ascii="Times New Roman" w:hAnsi="Times New Roman"/>
          <w:sz w:val="24"/>
          <w:szCs w:val="24"/>
        </w:rPr>
        <w:t xml:space="preserve">The note has been prepared by the Office of the Prime Minister (OPM) in consultation with the National Economic Social Council (NESC). </w:t>
      </w:r>
    </w:p>
    <w:p w:rsidR="00F215FA" w:rsidRDefault="00F215FA" w:rsidP="0038554A">
      <w:pPr>
        <w:autoSpaceDE w:val="0"/>
        <w:autoSpaceDN w:val="0"/>
        <w:adjustRightInd w:val="0"/>
        <w:spacing w:before="0" w:after="0" w:line="240" w:lineRule="auto"/>
        <w:jc w:val="both"/>
        <w:rPr>
          <w:rFonts w:ascii="Times New Roman" w:hAnsi="Times New Roman"/>
          <w:sz w:val="24"/>
          <w:szCs w:val="24"/>
        </w:rPr>
      </w:pPr>
    </w:p>
    <w:p w:rsidR="00F215FA" w:rsidRDefault="00F215FA" w:rsidP="0038554A">
      <w:pPr>
        <w:autoSpaceDE w:val="0"/>
        <w:autoSpaceDN w:val="0"/>
        <w:adjustRightInd w:val="0"/>
        <w:spacing w:before="0" w:after="0" w:line="240" w:lineRule="auto"/>
        <w:jc w:val="both"/>
        <w:rPr>
          <w:rFonts w:ascii="Times New Roman" w:hAnsi="Times New Roman"/>
          <w:sz w:val="24"/>
          <w:szCs w:val="24"/>
        </w:rPr>
      </w:pPr>
      <w:r>
        <w:rPr>
          <w:rFonts w:ascii="Times New Roman" w:hAnsi="Times New Roman"/>
          <w:sz w:val="24"/>
          <w:szCs w:val="24"/>
        </w:rPr>
        <w:t>OPM and NESC are of the opinion that the implementation of a sector competitiveness approach could :</w:t>
      </w:r>
    </w:p>
    <w:p w:rsidR="00F215FA" w:rsidRDefault="00F215FA" w:rsidP="0038554A">
      <w:pPr>
        <w:autoSpaceDE w:val="0"/>
        <w:autoSpaceDN w:val="0"/>
        <w:adjustRightInd w:val="0"/>
        <w:spacing w:before="0" w:after="0" w:line="240" w:lineRule="auto"/>
        <w:jc w:val="both"/>
        <w:rPr>
          <w:rFonts w:ascii="Times New Roman" w:hAnsi="Times New Roman"/>
          <w:sz w:val="24"/>
          <w:szCs w:val="24"/>
        </w:rPr>
      </w:pPr>
    </w:p>
    <w:p w:rsidR="00F215FA" w:rsidRDefault="0038554A" w:rsidP="00F215FA">
      <w:pPr>
        <w:pStyle w:val="ListParagraph"/>
        <w:numPr>
          <w:ilvl w:val="0"/>
          <w:numId w:val="12"/>
        </w:numPr>
        <w:autoSpaceDE w:val="0"/>
        <w:autoSpaceDN w:val="0"/>
        <w:adjustRightInd w:val="0"/>
        <w:spacing w:before="0" w:after="0" w:line="240" w:lineRule="auto"/>
        <w:jc w:val="both"/>
        <w:rPr>
          <w:rFonts w:ascii="Times New Roman" w:hAnsi="Times New Roman"/>
          <w:sz w:val="24"/>
          <w:szCs w:val="24"/>
        </w:rPr>
      </w:pPr>
      <w:r w:rsidRPr="00F215FA">
        <w:rPr>
          <w:rFonts w:ascii="Times New Roman" w:hAnsi="Times New Roman"/>
          <w:sz w:val="24"/>
          <w:szCs w:val="24"/>
        </w:rPr>
        <w:t xml:space="preserve">help </w:t>
      </w:r>
      <w:r w:rsidR="0099326E" w:rsidRPr="00F215FA">
        <w:rPr>
          <w:rFonts w:ascii="Times New Roman" w:hAnsi="Times New Roman"/>
          <w:sz w:val="24"/>
          <w:szCs w:val="24"/>
        </w:rPr>
        <w:t xml:space="preserve">in </w:t>
      </w:r>
      <w:r w:rsidRPr="00F215FA">
        <w:rPr>
          <w:rFonts w:ascii="Times New Roman" w:hAnsi="Times New Roman"/>
          <w:sz w:val="24"/>
          <w:szCs w:val="24"/>
        </w:rPr>
        <w:t>achieving and sustaining a</w:t>
      </w:r>
      <w:r w:rsidR="00761567" w:rsidRPr="00F215FA">
        <w:rPr>
          <w:rFonts w:ascii="Times New Roman" w:hAnsi="Times New Roman"/>
          <w:sz w:val="24"/>
          <w:szCs w:val="24"/>
        </w:rPr>
        <w:t xml:space="preserve"> </w:t>
      </w:r>
      <w:r w:rsidR="00143491" w:rsidRPr="00F215FA">
        <w:rPr>
          <w:rFonts w:ascii="Times New Roman" w:hAnsi="Times New Roman"/>
          <w:sz w:val="24"/>
          <w:szCs w:val="24"/>
        </w:rPr>
        <w:t xml:space="preserve">set </w:t>
      </w:r>
      <w:r w:rsidR="00761567" w:rsidRPr="00F215FA">
        <w:rPr>
          <w:rFonts w:ascii="Times New Roman" w:hAnsi="Times New Roman"/>
          <w:sz w:val="24"/>
          <w:szCs w:val="24"/>
        </w:rPr>
        <w:t>target</w:t>
      </w:r>
      <w:r w:rsidRPr="00F215FA">
        <w:rPr>
          <w:rFonts w:ascii="Times New Roman" w:hAnsi="Times New Roman"/>
          <w:sz w:val="24"/>
          <w:szCs w:val="24"/>
        </w:rPr>
        <w:t xml:space="preserve"> GDP growth rate of </w:t>
      </w:r>
      <w:r w:rsidR="00E96A7A" w:rsidRPr="00F215FA">
        <w:rPr>
          <w:rFonts w:ascii="Times New Roman" w:hAnsi="Times New Roman"/>
          <w:sz w:val="24"/>
          <w:szCs w:val="24"/>
        </w:rPr>
        <w:t>10</w:t>
      </w:r>
      <w:r w:rsidRPr="00F215FA">
        <w:rPr>
          <w:rFonts w:ascii="Times New Roman" w:hAnsi="Times New Roman"/>
          <w:sz w:val="24"/>
          <w:szCs w:val="24"/>
        </w:rPr>
        <w:t xml:space="preserve">% per annum </w:t>
      </w:r>
      <w:r w:rsidR="00F215FA">
        <w:rPr>
          <w:rFonts w:ascii="Times New Roman" w:hAnsi="Times New Roman"/>
          <w:sz w:val="24"/>
          <w:szCs w:val="24"/>
        </w:rPr>
        <w:t xml:space="preserve">from the year </w:t>
      </w:r>
      <w:r w:rsidR="0099326E" w:rsidRPr="00F215FA">
        <w:rPr>
          <w:rFonts w:ascii="Times New Roman" w:hAnsi="Times New Roman"/>
          <w:sz w:val="24"/>
          <w:szCs w:val="24"/>
        </w:rPr>
        <w:t xml:space="preserve"> </w:t>
      </w:r>
      <w:r w:rsidRPr="00F215FA">
        <w:rPr>
          <w:rFonts w:ascii="Times New Roman" w:hAnsi="Times New Roman"/>
          <w:sz w:val="24"/>
          <w:szCs w:val="24"/>
        </w:rPr>
        <w:t xml:space="preserve">2012 </w:t>
      </w:r>
      <w:r w:rsidR="00F215FA">
        <w:rPr>
          <w:rFonts w:ascii="Times New Roman" w:hAnsi="Times New Roman"/>
          <w:sz w:val="24"/>
          <w:szCs w:val="24"/>
        </w:rPr>
        <w:t>going forward</w:t>
      </w:r>
    </w:p>
    <w:p w:rsidR="00F215FA" w:rsidRDefault="00F215FA" w:rsidP="00F215FA">
      <w:pPr>
        <w:pStyle w:val="ListParagraph"/>
        <w:autoSpaceDE w:val="0"/>
        <w:autoSpaceDN w:val="0"/>
        <w:adjustRightInd w:val="0"/>
        <w:spacing w:before="0" w:after="0" w:line="240" w:lineRule="auto"/>
        <w:ind w:left="1080"/>
        <w:jc w:val="both"/>
        <w:rPr>
          <w:rFonts w:ascii="Times New Roman" w:hAnsi="Times New Roman"/>
          <w:sz w:val="24"/>
          <w:szCs w:val="24"/>
        </w:rPr>
      </w:pPr>
    </w:p>
    <w:p w:rsidR="00F215FA" w:rsidRDefault="0038554A" w:rsidP="00F215FA">
      <w:pPr>
        <w:pStyle w:val="ListParagraph"/>
        <w:numPr>
          <w:ilvl w:val="0"/>
          <w:numId w:val="12"/>
        </w:numPr>
        <w:autoSpaceDE w:val="0"/>
        <w:autoSpaceDN w:val="0"/>
        <w:adjustRightInd w:val="0"/>
        <w:spacing w:before="0" w:after="0" w:line="240" w:lineRule="auto"/>
        <w:jc w:val="both"/>
        <w:rPr>
          <w:rFonts w:ascii="Times New Roman" w:hAnsi="Times New Roman"/>
          <w:sz w:val="24"/>
          <w:szCs w:val="24"/>
        </w:rPr>
      </w:pPr>
      <w:r w:rsidRPr="00F215FA">
        <w:rPr>
          <w:rFonts w:ascii="Times New Roman" w:hAnsi="Times New Roman"/>
          <w:sz w:val="24"/>
          <w:szCs w:val="24"/>
        </w:rPr>
        <w:t xml:space="preserve">facilitate new business formation which would also contribute to the realization of the targeted results in the economic pillar of </w:t>
      </w:r>
      <w:r w:rsidR="00E96A7A" w:rsidRPr="00F215FA">
        <w:rPr>
          <w:rFonts w:ascii="Times New Roman" w:hAnsi="Times New Roman"/>
          <w:sz w:val="24"/>
          <w:szCs w:val="24"/>
        </w:rPr>
        <w:t xml:space="preserve">the Kenya </w:t>
      </w:r>
      <w:r w:rsidRPr="00F215FA">
        <w:rPr>
          <w:rFonts w:ascii="Times New Roman" w:hAnsi="Times New Roman"/>
          <w:sz w:val="24"/>
          <w:szCs w:val="24"/>
        </w:rPr>
        <w:t xml:space="preserve">Vision 2030. </w:t>
      </w:r>
    </w:p>
    <w:p w:rsidR="00F215FA" w:rsidRPr="00F215FA" w:rsidRDefault="00F215FA" w:rsidP="00F215FA">
      <w:pPr>
        <w:pStyle w:val="ListParagraph"/>
        <w:autoSpaceDE w:val="0"/>
        <w:autoSpaceDN w:val="0"/>
        <w:adjustRightInd w:val="0"/>
        <w:spacing w:before="0" w:after="0" w:line="240" w:lineRule="auto"/>
        <w:ind w:left="1080"/>
        <w:jc w:val="both"/>
        <w:rPr>
          <w:rFonts w:ascii="Times New Roman" w:hAnsi="Times New Roman"/>
          <w:sz w:val="24"/>
          <w:szCs w:val="24"/>
        </w:rPr>
      </w:pPr>
    </w:p>
    <w:p w:rsidR="0038554A" w:rsidRPr="00F215FA" w:rsidRDefault="0038554A" w:rsidP="00F215FA">
      <w:pPr>
        <w:pStyle w:val="ListParagraph"/>
        <w:numPr>
          <w:ilvl w:val="0"/>
          <w:numId w:val="12"/>
        </w:numPr>
        <w:autoSpaceDE w:val="0"/>
        <w:autoSpaceDN w:val="0"/>
        <w:adjustRightInd w:val="0"/>
        <w:spacing w:before="0" w:after="0" w:line="240" w:lineRule="auto"/>
        <w:jc w:val="both"/>
        <w:rPr>
          <w:rFonts w:ascii="Times New Roman" w:hAnsi="Times New Roman"/>
          <w:sz w:val="24"/>
          <w:szCs w:val="24"/>
        </w:rPr>
      </w:pPr>
      <w:r w:rsidRPr="00F215FA">
        <w:rPr>
          <w:rFonts w:ascii="Times New Roman" w:hAnsi="Times New Roman"/>
          <w:sz w:val="24"/>
          <w:szCs w:val="24"/>
        </w:rPr>
        <w:t>stimulate and enable innovation</w:t>
      </w:r>
      <w:r w:rsidRPr="00F215FA">
        <w:rPr>
          <w:rFonts w:ascii="Times New Roman" w:hAnsi="Times New Roman"/>
          <w:b/>
          <w:sz w:val="24"/>
          <w:szCs w:val="24"/>
        </w:rPr>
        <w:t xml:space="preserve"> </w:t>
      </w:r>
      <w:r w:rsidRPr="00F215FA">
        <w:rPr>
          <w:rFonts w:ascii="Times New Roman" w:hAnsi="Times New Roman"/>
          <w:sz w:val="24"/>
          <w:szCs w:val="24"/>
        </w:rPr>
        <w:t>by promoting interaction of multiple suppliers, competitors in the private sector</w:t>
      </w:r>
      <w:r w:rsidR="00E96A7A" w:rsidRPr="00F215FA">
        <w:rPr>
          <w:rFonts w:ascii="Times New Roman" w:hAnsi="Times New Roman"/>
          <w:sz w:val="24"/>
          <w:szCs w:val="24"/>
        </w:rPr>
        <w:t>,</w:t>
      </w:r>
      <w:r w:rsidRPr="00F215FA">
        <w:rPr>
          <w:rFonts w:ascii="Times New Roman" w:hAnsi="Times New Roman"/>
          <w:sz w:val="24"/>
          <w:szCs w:val="24"/>
        </w:rPr>
        <w:t xml:space="preserve"> as well as related government services to foster knowledge creation and knowledge transfer. </w:t>
      </w:r>
    </w:p>
    <w:p w:rsidR="00484ACA" w:rsidRPr="00DD5BD5" w:rsidRDefault="00484ACA" w:rsidP="00DD5BD5">
      <w:pPr>
        <w:spacing w:before="0" w:after="0" w:line="240" w:lineRule="auto"/>
        <w:jc w:val="both"/>
        <w:rPr>
          <w:rFonts w:ascii="Times New Roman" w:hAnsi="Times New Roman"/>
          <w:b/>
          <w:sz w:val="24"/>
          <w:szCs w:val="24"/>
        </w:rPr>
      </w:pPr>
    </w:p>
    <w:p w:rsidR="00B66F15" w:rsidRPr="00DD5BD5" w:rsidRDefault="00E86A12" w:rsidP="00DD5BD5">
      <w:pPr>
        <w:spacing w:before="0" w:after="0" w:line="240" w:lineRule="auto"/>
        <w:jc w:val="both"/>
        <w:rPr>
          <w:rFonts w:ascii="Times New Roman" w:hAnsi="Times New Roman"/>
          <w:b/>
          <w:sz w:val="24"/>
          <w:szCs w:val="24"/>
        </w:rPr>
      </w:pPr>
      <w:r>
        <w:rPr>
          <w:rFonts w:ascii="Times New Roman" w:hAnsi="Times New Roman"/>
          <w:b/>
          <w:sz w:val="24"/>
          <w:szCs w:val="24"/>
        </w:rPr>
        <w:t xml:space="preserve">2.0 </w:t>
      </w:r>
      <w:r w:rsidR="004679FF">
        <w:rPr>
          <w:rFonts w:ascii="Times New Roman" w:hAnsi="Times New Roman"/>
          <w:b/>
          <w:sz w:val="24"/>
          <w:szCs w:val="24"/>
        </w:rPr>
        <w:t>Background</w:t>
      </w:r>
    </w:p>
    <w:p w:rsidR="00B66F15" w:rsidRPr="00DD5BD5" w:rsidRDefault="00B66F15" w:rsidP="00DD5BD5">
      <w:pPr>
        <w:spacing w:before="0" w:after="0" w:line="240" w:lineRule="auto"/>
        <w:jc w:val="both"/>
        <w:rPr>
          <w:rFonts w:ascii="Times New Roman" w:hAnsi="Times New Roman"/>
          <w:sz w:val="24"/>
          <w:szCs w:val="24"/>
        </w:rPr>
      </w:pPr>
    </w:p>
    <w:p w:rsidR="00B66F15" w:rsidRDefault="00B66F15" w:rsidP="00DD5BD5">
      <w:pPr>
        <w:spacing w:before="0" w:after="0" w:line="240" w:lineRule="auto"/>
        <w:jc w:val="both"/>
        <w:rPr>
          <w:rFonts w:ascii="Times New Roman" w:hAnsi="Times New Roman"/>
          <w:sz w:val="24"/>
          <w:szCs w:val="24"/>
        </w:rPr>
      </w:pPr>
      <w:r w:rsidRPr="00DD5BD5">
        <w:rPr>
          <w:rFonts w:ascii="Times New Roman" w:hAnsi="Times New Roman"/>
          <w:sz w:val="24"/>
          <w:szCs w:val="24"/>
        </w:rPr>
        <w:t xml:space="preserve">The Kenya Vision 2030 aims at transforming </w:t>
      </w:r>
      <w:smartTag w:uri="urn:schemas-microsoft-com:office:smarttags" w:element="country-region">
        <w:smartTag w:uri="urn:schemas-microsoft-com:office:smarttags" w:element="place">
          <w:r w:rsidRPr="00DD5BD5">
            <w:rPr>
              <w:rFonts w:ascii="Times New Roman" w:hAnsi="Times New Roman"/>
              <w:sz w:val="24"/>
              <w:szCs w:val="24"/>
            </w:rPr>
            <w:t>Kenya</w:t>
          </w:r>
        </w:smartTag>
      </w:smartTag>
      <w:r w:rsidRPr="00DD5BD5">
        <w:rPr>
          <w:rFonts w:ascii="Times New Roman" w:hAnsi="Times New Roman"/>
          <w:sz w:val="24"/>
          <w:szCs w:val="24"/>
        </w:rPr>
        <w:t xml:space="preserve"> into a rapidly industrializing and middle income country by 2030 through achieving and sustaining a GDP growth rate of 10% per annum </w:t>
      </w:r>
      <w:r w:rsidR="00E96A7A">
        <w:rPr>
          <w:rFonts w:ascii="Times New Roman" w:hAnsi="Times New Roman"/>
          <w:sz w:val="24"/>
          <w:szCs w:val="24"/>
        </w:rPr>
        <w:t xml:space="preserve">starting </w:t>
      </w:r>
      <w:r w:rsidRPr="00DD5BD5">
        <w:rPr>
          <w:rFonts w:ascii="Times New Roman" w:hAnsi="Times New Roman"/>
          <w:sz w:val="24"/>
          <w:szCs w:val="24"/>
        </w:rPr>
        <w:t xml:space="preserve">2012. This ambitious growth rate relies </w:t>
      </w:r>
      <w:r w:rsidR="00E96A7A">
        <w:rPr>
          <w:rFonts w:ascii="Times New Roman" w:hAnsi="Times New Roman"/>
          <w:sz w:val="24"/>
          <w:szCs w:val="24"/>
        </w:rPr>
        <w:t xml:space="preserve">heavily </w:t>
      </w:r>
      <w:r w:rsidRPr="00DD5BD5">
        <w:rPr>
          <w:rFonts w:ascii="Times New Roman" w:hAnsi="Times New Roman"/>
          <w:sz w:val="24"/>
          <w:szCs w:val="24"/>
        </w:rPr>
        <w:t xml:space="preserve">on the private sector </w:t>
      </w:r>
      <w:r w:rsidR="00E96A7A">
        <w:rPr>
          <w:rFonts w:ascii="Times New Roman" w:hAnsi="Times New Roman"/>
          <w:sz w:val="24"/>
          <w:szCs w:val="24"/>
        </w:rPr>
        <w:t xml:space="preserve">being a successful </w:t>
      </w:r>
      <w:r w:rsidRPr="00DD5BD5">
        <w:rPr>
          <w:rFonts w:ascii="Times New Roman" w:hAnsi="Times New Roman"/>
          <w:sz w:val="24"/>
          <w:szCs w:val="24"/>
        </w:rPr>
        <w:t>engine for economic growth and development. The Government of Ke</w:t>
      </w:r>
      <w:r w:rsidR="004679FF">
        <w:rPr>
          <w:rFonts w:ascii="Times New Roman" w:hAnsi="Times New Roman"/>
          <w:sz w:val="24"/>
          <w:szCs w:val="24"/>
        </w:rPr>
        <w:t xml:space="preserve">nya is committed </w:t>
      </w:r>
      <w:r w:rsidR="0094491F">
        <w:rPr>
          <w:rFonts w:ascii="Times New Roman" w:hAnsi="Times New Roman"/>
          <w:sz w:val="24"/>
          <w:szCs w:val="24"/>
        </w:rPr>
        <w:t xml:space="preserve">to </w:t>
      </w:r>
      <w:r w:rsidR="0094491F" w:rsidRPr="00DD5BD5">
        <w:rPr>
          <w:rFonts w:ascii="Times New Roman" w:hAnsi="Times New Roman"/>
          <w:sz w:val="24"/>
          <w:szCs w:val="24"/>
        </w:rPr>
        <w:t>providing</w:t>
      </w:r>
      <w:r w:rsidRPr="00DD5BD5">
        <w:rPr>
          <w:rFonts w:ascii="Times New Roman" w:hAnsi="Times New Roman"/>
          <w:sz w:val="24"/>
          <w:szCs w:val="24"/>
        </w:rPr>
        <w:t xml:space="preserve"> an enabling business environment which will enhance private sector growth and competitiveness that will contribute to the country’s medium and longer term objectives in line with </w:t>
      </w:r>
      <w:r w:rsidR="00E96A7A">
        <w:rPr>
          <w:rFonts w:ascii="Times New Roman" w:hAnsi="Times New Roman"/>
          <w:sz w:val="24"/>
          <w:szCs w:val="24"/>
        </w:rPr>
        <w:t xml:space="preserve">the </w:t>
      </w:r>
      <w:r w:rsidRPr="00DD5BD5">
        <w:rPr>
          <w:rFonts w:ascii="Times New Roman" w:hAnsi="Times New Roman"/>
          <w:sz w:val="24"/>
          <w:szCs w:val="24"/>
        </w:rPr>
        <w:t>Kenya Vision 2030.</w:t>
      </w:r>
      <w:r w:rsidR="00A952ED">
        <w:rPr>
          <w:rFonts w:ascii="Times New Roman" w:hAnsi="Times New Roman"/>
          <w:sz w:val="24"/>
          <w:szCs w:val="24"/>
        </w:rPr>
        <w:t xml:space="preserve"> </w:t>
      </w:r>
      <w:r w:rsidR="004679FF">
        <w:rPr>
          <w:rFonts w:ascii="Times New Roman" w:hAnsi="Times New Roman"/>
          <w:sz w:val="24"/>
          <w:szCs w:val="24"/>
        </w:rPr>
        <w:t>To facilitate this there is a n</w:t>
      </w:r>
      <w:r w:rsidR="0094491F">
        <w:rPr>
          <w:rFonts w:ascii="Times New Roman" w:hAnsi="Times New Roman"/>
          <w:sz w:val="24"/>
          <w:szCs w:val="24"/>
        </w:rPr>
        <w:t>e</w:t>
      </w:r>
      <w:r w:rsidR="004679FF">
        <w:rPr>
          <w:rFonts w:ascii="Times New Roman" w:hAnsi="Times New Roman"/>
          <w:sz w:val="24"/>
          <w:szCs w:val="24"/>
        </w:rPr>
        <w:t>ed to create formal engagement structures and partnerships to facilitate the sharing of ideas between the Government and its various stakeholders.</w:t>
      </w:r>
    </w:p>
    <w:p w:rsidR="00C75D24" w:rsidRDefault="00C75D24" w:rsidP="00E2494A">
      <w:pPr>
        <w:spacing w:before="0" w:after="0" w:line="240" w:lineRule="auto"/>
        <w:jc w:val="both"/>
        <w:rPr>
          <w:rFonts w:ascii="Times New Roman" w:hAnsi="Times New Roman"/>
          <w:b/>
          <w:sz w:val="24"/>
          <w:szCs w:val="24"/>
        </w:rPr>
      </w:pPr>
    </w:p>
    <w:p w:rsidR="007D7202" w:rsidRPr="007D7202" w:rsidRDefault="00C75D24" w:rsidP="007D7202">
      <w:pPr>
        <w:spacing w:before="0" w:after="0" w:line="240" w:lineRule="auto"/>
        <w:jc w:val="both"/>
        <w:rPr>
          <w:rFonts w:ascii="Times New Roman" w:hAnsi="Times New Roman"/>
          <w:sz w:val="24"/>
          <w:szCs w:val="24"/>
        </w:rPr>
      </w:pPr>
      <w:r>
        <w:rPr>
          <w:rFonts w:ascii="Times New Roman" w:hAnsi="Times New Roman"/>
          <w:sz w:val="24"/>
          <w:szCs w:val="24"/>
        </w:rPr>
        <w:t>The</w:t>
      </w:r>
      <w:r w:rsidR="0040550F">
        <w:rPr>
          <w:rFonts w:ascii="Times New Roman" w:hAnsi="Times New Roman"/>
          <w:sz w:val="24"/>
          <w:szCs w:val="24"/>
        </w:rPr>
        <w:t xml:space="preserve"> Competitive Partnerships Initiative</w:t>
      </w:r>
      <w:r>
        <w:rPr>
          <w:rFonts w:ascii="Times New Roman" w:hAnsi="Times New Roman"/>
          <w:sz w:val="24"/>
          <w:szCs w:val="24"/>
        </w:rPr>
        <w:t xml:space="preserve"> </w:t>
      </w:r>
      <w:r w:rsidR="004679FF">
        <w:rPr>
          <w:rFonts w:ascii="Times New Roman" w:hAnsi="Times New Roman"/>
          <w:sz w:val="24"/>
          <w:szCs w:val="24"/>
        </w:rPr>
        <w:t>is intended to build upon two sets of initiatives that have been going on over the last two years</w:t>
      </w:r>
      <w:r w:rsidR="001A54B1">
        <w:rPr>
          <w:rFonts w:ascii="Times New Roman" w:hAnsi="Times New Roman"/>
          <w:sz w:val="24"/>
          <w:szCs w:val="24"/>
        </w:rPr>
        <w:t>. These are the sector</w:t>
      </w:r>
      <w:r w:rsidR="004679FF">
        <w:rPr>
          <w:rFonts w:ascii="Times New Roman" w:hAnsi="Times New Roman"/>
          <w:sz w:val="24"/>
          <w:szCs w:val="24"/>
        </w:rPr>
        <w:t xml:space="preserve"> development initiatives and the public private dialogue. </w:t>
      </w:r>
      <w:r w:rsidR="0094491F">
        <w:rPr>
          <w:rFonts w:ascii="Times New Roman" w:hAnsi="Times New Roman"/>
          <w:sz w:val="24"/>
          <w:szCs w:val="24"/>
        </w:rPr>
        <w:t xml:space="preserve">It also aims to sharpen the focus on </w:t>
      </w:r>
      <w:r w:rsidR="00F5344C">
        <w:rPr>
          <w:rFonts w:ascii="Times New Roman" w:hAnsi="Times New Roman"/>
          <w:sz w:val="24"/>
          <w:szCs w:val="24"/>
        </w:rPr>
        <w:t xml:space="preserve">addressing </w:t>
      </w:r>
      <w:r w:rsidR="00AE1DCE">
        <w:rPr>
          <w:rFonts w:ascii="Times New Roman" w:hAnsi="Times New Roman"/>
          <w:sz w:val="24"/>
          <w:szCs w:val="24"/>
        </w:rPr>
        <w:t xml:space="preserve">specific </w:t>
      </w:r>
      <w:r w:rsidR="003A3B8D">
        <w:rPr>
          <w:rFonts w:ascii="Times New Roman" w:hAnsi="Times New Roman"/>
          <w:sz w:val="24"/>
          <w:szCs w:val="24"/>
        </w:rPr>
        <w:t xml:space="preserve">binding constraints and </w:t>
      </w:r>
      <w:r w:rsidR="00F5344C">
        <w:rPr>
          <w:rFonts w:ascii="Times New Roman" w:hAnsi="Times New Roman"/>
          <w:sz w:val="24"/>
          <w:szCs w:val="24"/>
        </w:rPr>
        <w:t xml:space="preserve">increasing </w:t>
      </w:r>
      <w:r w:rsidR="003A3B8D">
        <w:rPr>
          <w:rFonts w:ascii="Times New Roman" w:hAnsi="Times New Roman"/>
          <w:sz w:val="24"/>
          <w:szCs w:val="24"/>
        </w:rPr>
        <w:t xml:space="preserve">investment generation efforts that are expected to achieve most </w:t>
      </w:r>
      <w:r w:rsidR="00080D6C">
        <w:rPr>
          <w:rFonts w:ascii="Times New Roman" w:hAnsi="Times New Roman"/>
          <w:sz w:val="24"/>
          <w:szCs w:val="24"/>
        </w:rPr>
        <w:t xml:space="preserve">impact </w:t>
      </w:r>
      <w:r w:rsidR="0094491F">
        <w:rPr>
          <w:rFonts w:ascii="Times New Roman" w:hAnsi="Times New Roman"/>
          <w:sz w:val="24"/>
          <w:szCs w:val="24"/>
        </w:rPr>
        <w:t xml:space="preserve">in the short-mid-term. </w:t>
      </w:r>
      <w:r w:rsidR="007D7202" w:rsidRPr="007D7202">
        <w:rPr>
          <w:rFonts w:ascii="Times New Roman" w:hAnsi="Times New Roman"/>
          <w:sz w:val="24"/>
          <w:szCs w:val="24"/>
        </w:rPr>
        <w:t xml:space="preserve">It also aims to sharpen the focus on addressing specific binding constraints and increasing investment generation efforts that are expected to achieve most impact in the short-mid-term. </w:t>
      </w:r>
    </w:p>
    <w:p w:rsidR="00C75D24" w:rsidRPr="00C75D24" w:rsidRDefault="00C75D24" w:rsidP="00E2494A">
      <w:pPr>
        <w:spacing w:before="0" w:after="0" w:line="240" w:lineRule="auto"/>
        <w:jc w:val="both"/>
        <w:rPr>
          <w:rFonts w:ascii="Times New Roman" w:hAnsi="Times New Roman"/>
          <w:sz w:val="24"/>
          <w:szCs w:val="24"/>
        </w:rPr>
      </w:pPr>
    </w:p>
    <w:p w:rsidR="00C75D24" w:rsidRDefault="00C75D24" w:rsidP="00E2494A">
      <w:pPr>
        <w:spacing w:before="0" w:after="0" w:line="240" w:lineRule="auto"/>
        <w:jc w:val="both"/>
        <w:rPr>
          <w:rFonts w:ascii="Times New Roman" w:hAnsi="Times New Roman"/>
          <w:b/>
          <w:sz w:val="24"/>
          <w:szCs w:val="24"/>
        </w:rPr>
      </w:pPr>
    </w:p>
    <w:p w:rsidR="005459B2" w:rsidRDefault="005459B2" w:rsidP="00E2494A">
      <w:pPr>
        <w:spacing w:before="0" w:after="0" w:line="240" w:lineRule="auto"/>
        <w:jc w:val="both"/>
        <w:rPr>
          <w:rFonts w:ascii="Times New Roman" w:hAnsi="Times New Roman"/>
          <w:b/>
          <w:sz w:val="24"/>
          <w:szCs w:val="24"/>
        </w:rPr>
      </w:pPr>
    </w:p>
    <w:p w:rsidR="00E2494A" w:rsidRPr="00DD5BD5" w:rsidRDefault="00E2494A" w:rsidP="00E2494A">
      <w:pPr>
        <w:spacing w:before="0" w:after="0" w:line="240" w:lineRule="auto"/>
        <w:jc w:val="both"/>
        <w:rPr>
          <w:rFonts w:ascii="Times New Roman" w:hAnsi="Times New Roman"/>
          <w:b/>
          <w:sz w:val="24"/>
          <w:szCs w:val="24"/>
        </w:rPr>
      </w:pPr>
    </w:p>
    <w:p w:rsidR="004679FF" w:rsidRPr="00EC3C44" w:rsidRDefault="004679FF" w:rsidP="00E2494A">
      <w:pPr>
        <w:autoSpaceDE w:val="0"/>
        <w:autoSpaceDN w:val="0"/>
        <w:adjustRightInd w:val="0"/>
        <w:spacing w:before="0" w:after="0" w:line="240" w:lineRule="auto"/>
        <w:jc w:val="both"/>
        <w:rPr>
          <w:rFonts w:ascii="Times New Roman" w:hAnsi="Times New Roman"/>
          <w:b/>
          <w:bCs/>
          <w:sz w:val="24"/>
          <w:szCs w:val="24"/>
        </w:rPr>
      </w:pPr>
      <w:r w:rsidRPr="00EC3C44">
        <w:rPr>
          <w:rFonts w:ascii="Times New Roman" w:hAnsi="Times New Roman"/>
          <w:b/>
          <w:bCs/>
          <w:sz w:val="24"/>
          <w:szCs w:val="24"/>
        </w:rPr>
        <w:lastRenderedPageBreak/>
        <w:t xml:space="preserve">a. Cluster development initiatives </w:t>
      </w:r>
    </w:p>
    <w:p w:rsidR="004679FF" w:rsidRDefault="004679FF" w:rsidP="00E2494A">
      <w:pPr>
        <w:autoSpaceDE w:val="0"/>
        <w:autoSpaceDN w:val="0"/>
        <w:adjustRightInd w:val="0"/>
        <w:spacing w:before="0" w:after="0" w:line="240" w:lineRule="auto"/>
        <w:jc w:val="both"/>
        <w:rPr>
          <w:rFonts w:ascii="Times New Roman" w:hAnsi="Times New Roman"/>
          <w:bCs/>
          <w:sz w:val="24"/>
          <w:szCs w:val="24"/>
        </w:rPr>
      </w:pPr>
    </w:p>
    <w:p w:rsidR="00EC3C44" w:rsidRDefault="004679FF" w:rsidP="00E2494A">
      <w:pPr>
        <w:autoSpaceDE w:val="0"/>
        <w:autoSpaceDN w:val="0"/>
        <w:adjustRightInd w:val="0"/>
        <w:spacing w:before="0" w:after="0" w:line="240" w:lineRule="auto"/>
        <w:jc w:val="both"/>
        <w:rPr>
          <w:rFonts w:ascii="Times New Roman" w:hAnsi="Times New Roman"/>
          <w:bCs/>
          <w:sz w:val="24"/>
          <w:szCs w:val="24"/>
        </w:rPr>
      </w:pPr>
      <w:r w:rsidRPr="004679FF">
        <w:rPr>
          <w:rFonts w:ascii="Times New Roman" w:hAnsi="Times New Roman"/>
          <w:bCs/>
          <w:sz w:val="24"/>
          <w:szCs w:val="24"/>
        </w:rPr>
        <w:t xml:space="preserve">The concept of ‘cluster’ generally refers to a geographical agglomeration or concentration of companies, suppliers, service providers and associated institutions engaged in a particular economic activity linked by externalities and complementarities (GCR 2008-09). </w:t>
      </w:r>
      <w:r>
        <w:rPr>
          <w:rFonts w:ascii="Times New Roman" w:hAnsi="Times New Roman"/>
          <w:bCs/>
          <w:sz w:val="24"/>
          <w:szCs w:val="24"/>
        </w:rPr>
        <w:t xml:space="preserve">Over the last two years there have been a number of cluster development approaches that have been initiated. </w:t>
      </w:r>
      <w:r w:rsidR="00EC3C44">
        <w:rPr>
          <w:rFonts w:ascii="Times New Roman" w:hAnsi="Times New Roman"/>
          <w:bCs/>
          <w:sz w:val="24"/>
          <w:szCs w:val="24"/>
        </w:rPr>
        <w:t xml:space="preserve">These include: </w:t>
      </w:r>
    </w:p>
    <w:p w:rsidR="00EC3C44" w:rsidRDefault="00EC3C44" w:rsidP="00E2494A">
      <w:pPr>
        <w:autoSpaceDE w:val="0"/>
        <w:autoSpaceDN w:val="0"/>
        <w:adjustRightInd w:val="0"/>
        <w:spacing w:before="0" w:after="0" w:line="240" w:lineRule="auto"/>
        <w:jc w:val="both"/>
        <w:rPr>
          <w:rFonts w:ascii="Times New Roman" w:hAnsi="Times New Roman"/>
          <w:bCs/>
          <w:sz w:val="24"/>
          <w:szCs w:val="24"/>
        </w:rPr>
      </w:pPr>
    </w:p>
    <w:p w:rsidR="00EC3C44" w:rsidRPr="004A0BD5" w:rsidRDefault="00DF2ABB" w:rsidP="00EC3C44">
      <w:pPr>
        <w:pStyle w:val="ListParagraph"/>
        <w:numPr>
          <w:ilvl w:val="0"/>
          <w:numId w:val="13"/>
        </w:numPr>
        <w:autoSpaceDE w:val="0"/>
        <w:autoSpaceDN w:val="0"/>
        <w:adjustRightInd w:val="0"/>
        <w:spacing w:before="0" w:after="0" w:line="240" w:lineRule="auto"/>
        <w:jc w:val="both"/>
        <w:rPr>
          <w:rFonts w:ascii="Times New Roman" w:hAnsi="Times New Roman"/>
          <w:sz w:val="24"/>
          <w:szCs w:val="24"/>
        </w:rPr>
      </w:pPr>
      <w:r>
        <w:rPr>
          <w:rFonts w:ascii="Times New Roman" w:hAnsi="Times New Roman"/>
          <w:bCs/>
          <w:sz w:val="24"/>
          <w:szCs w:val="24"/>
        </w:rPr>
        <w:t>NESC</w:t>
      </w:r>
      <w:r w:rsidR="00E2494A" w:rsidRPr="00EC3C44">
        <w:rPr>
          <w:rFonts w:ascii="Times New Roman" w:hAnsi="Times New Roman"/>
          <w:bCs/>
          <w:sz w:val="24"/>
          <w:szCs w:val="24"/>
        </w:rPr>
        <w:t xml:space="preserve"> during its 17</w:t>
      </w:r>
      <w:r w:rsidR="00E2494A" w:rsidRPr="00EC3C44">
        <w:rPr>
          <w:rFonts w:ascii="Times New Roman" w:hAnsi="Times New Roman"/>
          <w:bCs/>
          <w:sz w:val="24"/>
          <w:szCs w:val="24"/>
          <w:vertAlign w:val="superscript"/>
        </w:rPr>
        <w:t>th</w:t>
      </w:r>
      <w:r w:rsidR="00E2494A" w:rsidRPr="00EC3C44">
        <w:rPr>
          <w:rFonts w:ascii="Times New Roman" w:hAnsi="Times New Roman"/>
          <w:bCs/>
          <w:sz w:val="24"/>
          <w:szCs w:val="24"/>
        </w:rPr>
        <w:t xml:space="preserve"> Council held on May 29-30</w:t>
      </w:r>
      <w:r w:rsidR="00E2494A" w:rsidRPr="00EC3C44">
        <w:rPr>
          <w:rFonts w:ascii="Times New Roman" w:hAnsi="Times New Roman"/>
          <w:bCs/>
          <w:sz w:val="24"/>
          <w:szCs w:val="24"/>
          <w:vertAlign w:val="superscript"/>
        </w:rPr>
        <w:t>th</w:t>
      </w:r>
      <w:r w:rsidR="00E2494A" w:rsidRPr="00EC3C44">
        <w:rPr>
          <w:rFonts w:ascii="Times New Roman" w:hAnsi="Times New Roman"/>
          <w:bCs/>
          <w:sz w:val="24"/>
          <w:szCs w:val="24"/>
        </w:rPr>
        <w:t xml:space="preserve"> 2009, recommended </w:t>
      </w:r>
      <w:r w:rsidR="00E2494A" w:rsidRPr="00EC3C44">
        <w:rPr>
          <w:rFonts w:ascii="Times New Roman" w:hAnsi="Times New Roman"/>
          <w:sz w:val="24"/>
          <w:szCs w:val="24"/>
        </w:rPr>
        <w:t>the adoption of a cluster development strategy as part of regional and national competitiveness strategies. Accordingly, priority sectors have been identified for the initial implementation of the cluster strategy. These are: transport and logistics at the Port of Mombasa, horticulture, sugar, tea, tourism, marine and inland fisheries, livestock, energy, ICT, maize, cotton and dairy.</w:t>
      </w:r>
      <w:r w:rsidR="00E2494A" w:rsidRPr="00EC3C44">
        <w:rPr>
          <w:rFonts w:ascii="Times New Roman" w:hAnsi="Times New Roman"/>
          <w:bCs/>
          <w:sz w:val="24"/>
          <w:szCs w:val="24"/>
        </w:rPr>
        <w:t xml:space="preserve"> </w:t>
      </w:r>
    </w:p>
    <w:p w:rsidR="00D46581" w:rsidRDefault="00D46581">
      <w:pPr>
        <w:pStyle w:val="ListParagraph"/>
        <w:autoSpaceDE w:val="0"/>
        <w:autoSpaceDN w:val="0"/>
        <w:adjustRightInd w:val="0"/>
        <w:spacing w:before="0" w:after="0" w:line="240" w:lineRule="auto"/>
        <w:jc w:val="both"/>
        <w:rPr>
          <w:rFonts w:ascii="Times New Roman" w:hAnsi="Times New Roman"/>
          <w:sz w:val="24"/>
          <w:szCs w:val="24"/>
        </w:rPr>
      </w:pPr>
    </w:p>
    <w:p w:rsidR="004A0BD5" w:rsidRPr="007D7202" w:rsidRDefault="007D7202" w:rsidP="007D7202">
      <w:pPr>
        <w:pStyle w:val="ListParagraph"/>
        <w:numPr>
          <w:ilvl w:val="0"/>
          <w:numId w:val="13"/>
        </w:numPr>
        <w:autoSpaceDE w:val="0"/>
        <w:autoSpaceDN w:val="0"/>
        <w:adjustRightInd w:val="0"/>
        <w:spacing w:before="0" w:after="0" w:line="240" w:lineRule="auto"/>
        <w:jc w:val="both"/>
        <w:rPr>
          <w:rFonts w:ascii="Times New Roman" w:hAnsi="Times New Roman"/>
          <w:sz w:val="24"/>
          <w:szCs w:val="24"/>
        </w:rPr>
      </w:pPr>
      <w:r>
        <w:rPr>
          <w:rFonts w:ascii="Times New Roman" w:hAnsi="Times New Roman"/>
          <w:sz w:val="24"/>
          <w:szCs w:val="24"/>
        </w:rPr>
        <w:t xml:space="preserve">NESC also </w:t>
      </w:r>
      <w:r w:rsidRPr="007D7202">
        <w:rPr>
          <w:rFonts w:ascii="Times New Roman" w:hAnsi="Times New Roman"/>
          <w:bCs/>
          <w:sz w:val="24"/>
          <w:szCs w:val="24"/>
        </w:rPr>
        <w:t xml:space="preserve">recommended the establishment of a Productivity and Competitiveness Commission to oversee matters of productivity and the country’s investment climate reform agenda and ensure the country </w:t>
      </w:r>
      <w:r w:rsidR="0040550F">
        <w:rPr>
          <w:rFonts w:ascii="Times New Roman" w:hAnsi="Times New Roman"/>
          <w:bCs/>
          <w:sz w:val="24"/>
          <w:szCs w:val="24"/>
        </w:rPr>
        <w:t>is a competitive investment des</w:t>
      </w:r>
      <w:r w:rsidRPr="007D7202">
        <w:rPr>
          <w:rFonts w:ascii="Times New Roman" w:hAnsi="Times New Roman"/>
          <w:bCs/>
          <w:sz w:val="24"/>
          <w:szCs w:val="24"/>
        </w:rPr>
        <w:t>tination.</w:t>
      </w:r>
    </w:p>
    <w:p w:rsidR="00EC3C44" w:rsidRPr="00EC3C44" w:rsidRDefault="00EC3C44" w:rsidP="00EC3C44">
      <w:pPr>
        <w:autoSpaceDE w:val="0"/>
        <w:autoSpaceDN w:val="0"/>
        <w:adjustRightInd w:val="0"/>
        <w:spacing w:before="0" w:after="0" w:line="240" w:lineRule="auto"/>
        <w:ind w:left="360"/>
        <w:jc w:val="both"/>
        <w:rPr>
          <w:rFonts w:ascii="Times New Roman" w:hAnsi="Times New Roman"/>
          <w:sz w:val="24"/>
          <w:szCs w:val="24"/>
        </w:rPr>
      </w:pPr>
    </w:p>
    <w:p w:rsidR="00EC3C44" w:rsidRPr="00EC3C44" w:rsidRDefault="00E2494A" w:rsidP="00EC3C44">
      <w:pPr>
        <w:pStyle w:val="ListParagraph"/>
        <w:numPr>
          <w:ilvl w:val="0"/>
          <w:numId w:val="13"/>
        </w:numPr>
        <w:autoSpaceDE w:val="0"/>
        <w:autoSpaceDN w:val="0"/>
        <w:adjustRightInd w:val="0"/>
        <w:spacing w:before="0" w:after="0" w:line="240" w:lineRule="auto"/>
        <w:jc w:val="both"/>
        <w:rPr>
          <w:rFonts w:ascii="Times New Roman" w:hAnsi="Times New Roman"/>
          <w:sz w:val="24"/>
          <w:szCs w:val="24"/>
        </w:rPr>
      </w:pPr>
      <w:r w:rsidRPr="00EC3C44">
        <w:rPr>
          <w:rFonts w:ascii="Times New Roman" w:hAnsi="Times New Roman"/>
          <w:bCs/>
          <w:sz w:val="24"/>
          <w:szCs w:val="24"/>
        </w:rPr>
        <w:t>The Vision 2030 also advocates for regional manufacturing and industrial clusters as engines for realizing industrialization.</w:t>
      </w:r>
    </w:p>
    <w:p w:rsidR="00EC3C44" w:rsidRPr="00EC3C44" w:rsidRDefault="00EC3C44" w:rsidP="00EC3C44">
      <w:pPr>
        <w:autoSpaceDE w:val="0"/>
        <w:autoSpaceDN w:val="0"/>
        <w:adjustRightInd w:val="0"/>
        <w:spacing w:before="0" w:after="0" w:line="240" w:lineRule="auto"/>
        <w:jc w:val="both"/>
        <w:rPr>
          <w:rFonts w:ascii="Times New Roman" w:hAnsi="Times New Roman"/>
          <w:sz w:val="24"/>
          <w:szCs w:val="24"/>
        </w:rPr>
      </w:pPr>
    </w:p>
    <w:p w:rsidR="00EC3C44" w:rsidRDefault="00E2494A" w:rsidP="00EC3C44">
      <w:pPr>
        <w:pStyle w:val="ListParagraph"/>
        <w:numPr>
          <w:ilvl w:val="0"/>
          <w:numId w:val="13"/>
        </w:numPr>
        <w:autoSpaceDE w:val="0"/>
        <w:autoSpaceDN w:val="0"/>
        <w:adjustRightInd w:val="0"/>
        <w:spacing w:before="0" w:after="0" w:line="240" w:lineRule="auto"/>
        <w:jc w:val="both"/>
        <w:rPr>
          <w:rFonts w:ascii="Times New Roman" w:hAnsi="Times New Roman"/>
          <w:sz w:val="24"/>
          <w:szCs w:val="24"/>
        </w:rPr>
      </w:pPr>
      <w:r w:rsidRPr="00EC3C44">
        <w:rPr>
          <w:rFonts w:ascii="Times New Roman" w:hAnsi="Times New Roman"/>
          <w:bCs/>
          <w:sz w:val="24"/>
          <w:szCs w:val="24"/>
        </w:rPr>
        <w:t xml:space="preserve"> </w:t>
      </w:r>
      <w:r w:rsidRPr="00EC3C44">
        <w:rPr>
          <w:rFonts w:ascii="Times New Roman" w:hAnsi="Times New Roman"/>
          <w:sz w:val="24"/>
          <w:szCs w:val="24"/>
        </w:rPr>
        <w:t>The fourth component of Kenya Private Sector Development Strategy (PSDS) also aims at improving the productivity and competitiveness of enterprises through the use of the cluster framework</w:t>
      </w:r>
    </w:p>
    <w:p w:rsidR="00EC3C44" w:rsidRPr="00EC3C44" w:rsidRDefault="00EC3C44" w:rsidP="00EC3C44">
      <w:pPr>
        <w:pStyle w:val="ListParagraph"/>
        <w:rPr>
          <w:rFonts w:ascii="Times New Roman" w:hAnsi="Times New Roman"/>
          <w:sz w:val="24"/>
          <w:szCs w:val="24"/>
        </w:rPr>
      </w:pPr>
    </w:p>
    <w:p w:rsidR="00EC3C44" w:rsidRDefault="00E2494A" w:rsidP="00E2494A">
      <w:pPr>
        <w:pStyle w:val="ListParagraph"/>
        <w:numPr>
          <w:ilvl w:val="0"/>
          <w:numId w:val="13"/>
        </w:numPr>
        <w:autoSpaceDE w:val="0"/>
        <w:autoSpaceDN w:val="0"/>
        <w:adjustRightInd w:val="0"/>
        <w:spacing w:before="0" w:after="0" w:line="240" w:lineRule="auto"/>
        <w:jc w:val="both"/>
        <w:rPr>
          <w:rFonts w:ascii="Times New Roman" w:hAnsi="Times New Roman"/>
          <w:sz w:val="24"/>
          <w:szCs w:val="24"/>
        </w:rPr>
      </w:pPr>
      <w:r w:rsidRPr="00EC3C44">
        <w:rPr>
          <w:rFonts w:ascii="Times New Roman" w:hAnsi="Times New Roman"/>
          <w:sz w:val="24"/>
          <w:szCs w:val="24"/>
        </w:rPr>
        <w:t xml:space="preserve">The Ministry of </w:t>
      </w:r>
      <w:r w:rsidR="00A732A5" w:rsidRPr="00EC3C44">
        <w:rPr>
          <w:rFonts w:ascii="Times New Roman" w:hAnsi="Times New Roman"/>
          <w:sz w:val="24"/>
          <w:szCs w:val="24"/>
        </w:rPr>
        <w:t>Industrialization</w:t>
      </w:r>
      <w:r w:rsidRPr="00EC3C44">
        <w:rPr>
          <w:rFonts w:ascii="Times New Roman" w:hAnsi="Times New Roman"/>
          <w:sz w:val="24"/>
          <w:szCs w:val="24"/>
        </w:rPr>
        <w:t>, in collaboration with the Kenya Institute of Public Policy Research and Analysis with the support of ECORYS Netherlands, has recently done a Cluster Analysis for Enhancing Productivity and Competitiveness of the Kenyan Economy, which includes a prioritization of the clusters for implementation.</w:t>
      </w:r>
    </w:p>
    <w:p w:rsidR="00EC3C44" w:rsidRPr="00EC3C44" w:rsidRDefault="00EC3C44" w:rsidP="00EC3C44">
      <w:pPr>
        <w:pStyle w:val="ListParagraph"/>
        <w:rPr>
          <w:rFonts w:ascii="Times New Roman" w:hAnsi="Times New Roman"/>
          <w:sz w:val="24"/>
          <w:szCs w:val="24"/>
        </w:rPr>
      </w:pPr>
    </w:p>
    <w:p w:rsidR="00E2494A" w:rsidRPr="00EC3C44" w:rsidRDefault="00E2494A" w:rsidP="00E2494A">
      <w:pPr>
        <w:pStyle w:val="ListParagraph"/>
        <w:numPr>
          <w:ilvl w:val="0"/>
          <w:numId w:val="13"/>
        </w:numPr>
        <w:autoSpaceDE w:val="0"/>
        <w:autoSpaceDN w:val="0"/>
        <w:adjustRightInd w:val="0"/>
        <w:spacing w:before="0" w:after="0" w:line="240" w:lineRule="auto"/>
        <w:jc w:val="both"/>
        <w:rPr>
          <w:rFonts w:ascii="Times New Roman" w:hAnsi="Times New Roman"/>
          <w:sz w:val="24"/>
          <w:szCs w:val="24"/>
        </w:rPr>
      </w:pPr>
      <w:r w:rsidRPr="00EC3C44">
        <w:rPr>
          <w:rFonts w:ascii="Times New Roman" w:hAnsi="Times New Roman"/>
          <w:sz w:val="24"/>
          <w:szCs w:val="24"/>
        </w:rPr>
        <w:t xml:space="preserve">The Ministry of </w:t>
      </w:r>
      <w:r w:rsidR="00A732A5" w:rsidRPr="00EC3C44">
        <w:rPr>
          <w:rFonts w:ascii="Times New Roman" w:hAnsi="Times New Roman"/>
          <w:sz w:val="24"/>
          <w:szCs w:val="24"/>
        </w:rPr>
        <w:t>Industrialization</w:t>
      </w:r>
      <w:r w:rsidRPr="00EC3C44">
        <w:rPr>
          <w:rFonts w:ascii="Times New Roman" w:hAnsi="Times New Roman"/>
          <w:sz w:val="24"/>
          <w:szCs w:val="24"/>
        </w:rPr>
        <w:t xml:space="preserve"> is currently spearheading a new industrialization policy and development of Action Plans for the implementation of initiatives in select sectors.</w:t>
      </w:r>
    </w:p>
    <w:p w:rsidR="00E2494A" w:rsidRPr="00DD5BD5" w:rsidRDefault="00E2494A" w:rsidP="00E2494A">
      <w:pPr>
        <w:spacing w:before="0" w:after="0" w:line="240" w:lineRule="auto"/>
        <w:jc w:val="both"/>
        <w:rPr>
          <w:rFonts w:ascii="Times New Roman" w:hAnsi="Times New Roman"/>
          <w:b/>
          <w:sz w:val="24"/>
          <w:szCs w:val="24"/>
        </w:rPr>
      </w:pPr>
    </w:p>
    <w:p w:rsidR="00C75D24" w:rsidRPr="00EC3C44" w:rsidRDefault="00EC3C44" w:rsidP="00C133F2">
      <w:pPr>
        <w:spacing w:before="0" w:after="0" w:line="240" w:lineRule="auto"/>
        <w:jc w:val="both"/>
        <w:rPr>
          <w:rFonts w:ascii="Times New Roman" w:hAnsi="Times New Roman"/>
          <w:b/>
          <w:sz w:val="24"/>
          <w:szCs w:val="24"/>
        </w:rPr>
      </w:pPr>
      <w:r w:rsidRPr="00EC3C44">
        <w:rPr>
          <w:rFonts w:ascii="Times New Roman" w:hAnsi="Times New Roman"/>
          <w:b/>
          <w:sz w:val="24"/>
          <w:szCs w:val="24"/>
        </w:rPr>
        <w:t xml:space="preserve">b. </w:t>
      </w:r>
      <w:r w:rsidR="00C75D24" w:rsidRPr="00EC3C44">
        <w:rPr>
          <w:rFonts w:ascii="Times New Roman" w:hAnsi="Times New Roman"/>
          <w:b/>
          <w:sz w:val="24"/>
          <w:szCs w:val="24"/>
        </w:rPr>
        <w:t>Public Private Dialogue</w:t>
      </w:r>
    </w:p>
    <w:p w:rsidR="00C75D24" w:rsidRDefault="00C75D24" w:rsidP="00C133F2">
      <w:pPr>
        <w:spacing w:before="0" w:after="0" w:line="240" w:lineRule="auto"/>
        <w:jc w:val="both"/>
        <w:rPr>
          <w:rFonts w:ascii="Times New Roman" w:hAnsi="Times New Roman"/>
          <w:sz w:val="24"/>
          <w:szCs w:val="24"/>
        </w:rPr>
      </w:pPr>
    </w:p>
    <w:p w:rsidR="00EC3C44" w:rsidRDefault="00EC3C44" w:rsidP="00EC3C44">
      <w:pPr>
        <w:spacing w:before="0" w:after="0" w:line="240" w:lineRule="auto"/>
        <w:jc w:val="both"/>
        <w:rPr>
          <w:rFonts w:ascii="Times New Roman" w:hAnsi="Times New Roman"/>
          <w:sz w:val="24"/>
          <w:szCs w:val="24"/>
        </w:rPr>
      </w:pPr>
      <w:r w:rsidRPr="00EC3C44">
        <w:rPr>
          <w:rFonts w:ascii="Times New Roman" w:hAnsi="Times New Roman"/>
          <w:sz w:val="24"/>
          <w:szCs w:val="24"/>
        </w:rPr>
        <w:t xml:space="preserve">In Kenya some form of public-private dialogue (PPD) has been practiced over </w:t>
      </w:r>
      <w:r>
        <w:rPr>
          <w:rFonts w:ascii="Times New Roman" w:hAnsi="Times New Roman"/>
          <w:sz w:val="24"/>
          <w:szCs w:val="24"/>
        </w:rPr>
        <w:t xml:space="preserve">the last decade and in the development of the Economic Recovery Strategy 2003-2007, special recognition of the role of private sector in development was made. </w:t>
      </w:r>
    </w:p>
    <w:p w:rsidR="00EC3C44" w:rsidRDefault="00EC3C44" w:rsidP="00EC3C44">
      <w:pPr>
        <w:spacing w:before="0" w:after="0" w:line="240" w:lineRule="auto"/>
        <w:jc w:val="both"/>
        <w:rPr>
          <w:rFonts w:ascii="Times New Roman" w:hAnsi="Times New Roman"/>
          <w:sz w:val="24"/>
          <w:szCs w:val="24"/>
        </w:rPr>
      </w:pPr>
    </w:p>
    <w:p w:rsidR="00C75D24" w:rsidRPr="00C75D24" w:rsidRDefault="00C75D24" w:rsidP="00C75D24">
      <w:pPr>
        <w:spacing w:before="0" w:after="0" w:line="240" w:lineRule="auto"/>
        <w:jc w:val="both"/>
        <w:rPr>
          <w:rFonts w:ascii="Times New Roman" w:hAnsi="Times New Roman"/>
          <w:sz w:val="24"/>
          <w:szCs w:val="24"/>
        </w:rPr>
      </w:pPr>
      <w:r w:rsidRPr="00C75D24">
        <w:rPr>
          <w:rFonts w:ascii="Times New Roman" w:hAnsi="Times New Roman"/>
          <w:sz w:val="24"/>
          <w:szCs w:val="24"/>
        </w:rPr>
        <w:t xml:space="preserve">Soon after the establishment of the Office of the Prime Minister (OPM) in 2008, the Government stepped up PPD with the launch of the Prime Minister’s Round Table (PMRT) with the private sector which takes place on a quarterly basis.  </w:t>
      </w:r>
      <w:r w:rsidR="00EC3C44">
        <w:rPr>
          <w:rFonts w:ascii="Times New Roman" w:hAnsi="Times New Roman"/>
          <w:sz w:val="24"/>
          <w:szCs w:val="24"/>
        </w:rPr>
        <w:t>The PMRT introduced a more focused approach to PPD where discussions are no</w:t>
      </w:r>
      <w:r w:rsidR="002C6CC4">
        <w:rPr>
          <w:rFonts w:ascii="Times New Roman" w:hAnsi="Times New Roman"/>
          <w:sz w:val="24"/>
          <w:szCs w:val="24"/>
        </w:rPr>
        <w:t>w</w:t>
      </w:r>
      <w:r w:rsidR="00EC3C44">
        <w:rPr>
          <w:rFonts w:ascii="Times New Roman" w:hAnsi="Times New Roman"/>
          <w:sz w:val="24"/>
          <w:szCs w:val="24"/>
        </w:rPr>
        <w:t xml:space="preserve"> better structured, include relevant decision makers and are </w:t>
      </w:r>
      <w:r w:rsidR="00EC3C44">
        <w:rPr>
          <w:rFonts w:ascii="Times New Roman" w:hAnsi="Times New Roman"/>
          <w:sz w:val="24"/>
          <w:szCs w:val="24"/>
        </w:rPr>
        <w:lastRenderedPageBreak/>
        <w:t xml:space="preserve">aimed at producing targeted results. </w:t>
      </w:r>
      <w:r w:rsidR="001A54B1">
        <w:rPr>
          <w:rFonts w:ascii="Times New Roman" w:hAnsi="Times New Roman"/>
          <w:sz w:val="24"/>
          <w:szCs w:val="24"/>
        </w:rPr>
        <w:t xml:space="preserve"> The </w:t>
      </w:r>
      <w:r w:rsidRPr="00C75D24">
        <w:rPr>
          <w:rFonts w:ascii="Times New Roman" w:hAnsi="Times New Roman"/>
          <w:sz w:val="24"/>
          <w:szCs w:val="24"/>
        </w:rPr>
        <w:t xml:space="preserve">PMRT </w:t>
      </w:r>
      <w:r w:rsidR="001A54B1">
        <w:rPr>
          <w:rFonts w:ascii="Times New Roman" w:hAnsi="Times New Roman"/>
          <w:sz w:val="24"/>
          <w:szCs w:val="24"/>
        </w:rPr>
        <w:t>meetings and follow up actions</w:t>
      </w:r>
      <w:r w:rsidRPr="00C75D24">
        <w:rPr>
          <w:rFonts w:ascii="Times New Roman" w:hAnsi="Times New Roman"/>
          <w:sz w:val="24"/>
          <w:szCs w:val="24"/>
        </w:rPr>
        <w:t xml:space="preserve"> have yielded notable results, including inspections and enforcement reforms, 24 hour service at Mombasa Port and the nomination of private sector players to key Boards of Government institutions that support private sector development. However, they have also drawn out the need to sharpen focus and alignment to national development goals and priorities in line with Vision 2030. </w:t>
      </w:r>
    </w:p>
    <w:p w:rsidR="00C75D24" w:rsidRDefault="00C75D24" w:rsidP="00C133F2">
      <w:pPr>
        <w:spacing w:before="0" w:after="0" w:line="240" w:lineRule="auto"/>
        <w:jc w:val="both"/>
        <w:rPr>
          <w:rFonts w:ascii="Times New Roman" w:hAnsi="Times New Roman"/>
          <w:sz w:val="24"/>
          <w:szCs w:val="24"/>
        </w:rPr>
      </w:pPr>
    </w:p>
    <w:p w:rsidR="00EC3C44" w:rsidRPr="00EC3C44" w:rsidRDefault="00EC3C44" w:rsidP="00EC3C44">
      <w:pPr>
        <w:spacing w:before="0" w:after="0" w:line="240" w:lineRule="auto"/>
        <w:jc w:val="both"/>
        <w:rPr>
          <w:rFonts w:ascii="Times New Roman" w:hAnsi="Times New Roman"/>
          <w:sz w:val="24"/>
          <w:szCs w:val="24"/>
        </w:rPr>
      </w:pPr>
      <w:r w:rsidRPr="00EC3C44">
        <w:rPr>
          <w:rFonts w:ascii="Times New Roman" w:hAnsi="Times New Roman"/>
          <w:sz w:val="24"/>
          <w:szCs w:val="24"/>
        </w:rPr>
        <w:t xml:space="preserve">To enable a structured engagement with Government where the private sector can speak with one voice, the private sector formed the Kenya Private Sector Alliance (KEPSA) which is the umbrella body for many Business Membership Organizations and Associations. The overall agenda of KEPSA is to provide “one voice” for the private sector to engage in public policy dialogue and hence influence public policy formulation. KEPSA is the interface for private sector in its dialogue with the </w:t>
      </w:r>
      <w:r>
        <w:rPr>
          <w:rFonts w:ascii="Times New Roman" w:hAnsi="Times New Roman"/>
          <w:sz w:val="24"/>
          <w:szCs w:val="24"/>
        </w:rPr>
        <w:t xml:space="preserve">Government and the </w:t>
      </w:r>
      <w:r w:rsidRPr="00EC3C44">
        <w:rPr>
          <w:rFonts w:ascii="Times New Roman" w:hAnsi="Times New Roman"/>
          <w:sz w:val="24"/>
          <w:szCs w:val="24"/>
        </w:rPr>
        <w:t xml:space="preserve">private sector </w:t>
      </w:r>
      <w:r>
        <w:rPr>
          <w:rFonts w:ascii="Times New Roman" w:hAnsi="Times New Roman"/>
          <w:sz w:val="24"/>
          <w:szCs w:val="24"/>
        </w:rPr>
        <w:t>voice in</w:t>
      </w:r>
      <w:r w:rsidRPr="00EC3C44">
        <w:rPr>
          <w:rFonts w:ascii="Times New Roman" w:hAnsi="Times New Roman"/>
          <w:sz w:val="24"/>
          <w:szCs w:val="24"/>
        </w:rPr>
        <w:t xml:space="preserve"> the </w:t>
      </w:r>
      <w:r>
        <w:rPr>
          <w:rFonts w:ascii="Times New Roman" w:hAnsi="Times New Roman"/>
          <w:sz w:val="24"/>
          <w:szCs w:val="24"/>
        </w:rPr>
        <w:t>PMRT.</w:t>
      </w:r>
    </w:p>
    <w:p w:rsidR="00EC3C44" w:rsidRDefault="00EC3C44" w:rsidP="00C133F2">
      <w:pPr>
        <w:spacing w:before="0" w:after="0" w:line="240" w:lineRule="auto"/>
        <w:jc w:val="both"/>
        <w:rPr>
          <w:rFonts w:ascii="Times New Roman" w:hAnsi="Times New Roman"/>
          <w:sz w:val="24"/>
          <w:szCs w:val="24"/>
        </w:rPr>
      </w:pPr>
    </w:p>
    <w:p w:rsidR="001A54B1" w:rsidRDefault="001A54B1" w:rsidP="00C133F2">
      <w:pPr>
        <w:spacing w:before="0" w:after="0" w:line="240" w:lineRule="auto"/>
        <w:jc w:val="both"/>
        <w:rPr>
          <w:rFonts w:ascii="Times New Roman" w:hAnsi="Times New Roman"/>
          <w:sz w:val="24"/>
          <w:szCs w:val="24"/>
        </w:rPr>
      </w:pPr>
    </w:p>
    <w:p w:rsidR="001A54B1" w:rsidRPr="003333A5" w:rsidRDefault="005459B2" w:rsidP="00C133F2">
      <w:pPr>
        <w:spacing w:before="0" w:after="0" w:line="240" w:lineRule="auto"/>
        <w:jc w:val="both"/>
        <w:rPr>
          <w:rFonts w:ascii="Times New Roman" w:hAnsi="Times New Roman"/>
          <w:b/>
          <w:sz w:val="24"/>
          <w:szCs w:val="24"/>
        </w:rPr>
      </w:pPr>
      <w:r>
        <w:rPr>
          <w:rFonts w:ascii="Times New Roman" w:hAnsi="Times New Roman"/>
          <w:b/>
          <w:sz w:val="24"/>
          <w:szCs w:val="24"/>
        </w:rPr>
        <w:t>3.0 A Competitive Partnerships Initiative</w:t>
      </w:r>
    </w:p>
    <w:p w:rsidR="001A54B1" w:rsidRDefault="001A54B1" w:rsidP="00C133F2">
      <w:pPr>
        <w:spacing w:before="0" w:after="0" w:line="240" w:lineRule="auto"/>
        <w:jc w:val="both"/>
        <w:rPr>
          <w:rFonts w:ascii="Times New Roman" w:hAnsi="Times New Roman"/>
          <w:sz w:val="24"/>
          <w:szCs w:val="24"/>
        </w:rPr>
      </w:pPr>
    </w:p>
    <w:p w:rsidR="001A54B1" w:rsidRDefault="001A54B1" w:rsidP="00C133F2">
      <w:pPr>
        <w:spacing w:before="0" w:after="0" w:line="240" w:lineRule="auto"/>
        <w:jc w:val="both"/>
        <w:rPr>
          <w:rFonts w:ascii="Times New Roman" w:hAnsi="Times New Roman"/>
          <w:sz w:val="24"/>
          <w:szCs w:val="24"/>
        </w:rPr>
      </w:pPr>
      <w:r>
        <w:rPr>
          <w:rFonts w:ascii="Times New Roman" w:hAnsi="Times New Roman"/>
          <w:sz w:val="24"/>
          <w:szCs w:val="24"/>
        </w:rPr>
        <w:t xml:space="preserve">During 2010, OPM </w:t>
      </w:r>
      <w:r w:rsidR="00DF2ABB">
        <w:rPr>
          <w:rFonts w:ascii="Times New Roman" w:hAnsi="Times New Roman"/>
          <w:sz w:val="24"/>
          <w:szCs w:val="24"/>
        </w:rPr>
        <w:t>in collaboration with NESC and the WBG have</w:t>
      </w:r>
      <w:r>
        <w:rPr>
          <w:rFonts w:ascii="Times New Roman" w:hAnsi="Times New Roman"/>
          <w:sz w:val="24"/>
          <w:szCs w:val="24"/>
        </w:rPr>
        <w:t xml:space="preserve"> been working to i</w:t>
      </w:r>
      <w:r w:rsidR="005459B2">
        <w:rPr>
          <w:rFonts w:ascii="Times New Roman" w:hAnsi="Times New Roman"/>
          <w:sz w:val="24"/>
          <w:szCs w:val="24"/>
        </w:rPr>
        <w:t>dentify an approach that brings</w:t>
      </w:r>
      <w:r>
        <w:rPr>
          <w:rFonts w:ascii="Times New Roman" w:hAnsi="Times New Roman"/>
          <w:sz w:val="24"/>
          <w:szCs w:val="24"/>
        </w:rPr>
        <w:t xml:space="preserve"> together, in a formal way, the cluster development initiatives and the public private dialogue under the umbrella of the PMRT and with the guidance of NESC.</w:t>
      </w:r>
    </w:p>
    <w:p w:rsidR="001A54B1" w:rsidRDefault="001A54B1" w:rsidP="00C133F2">
      <w:pPr>
        <w:spacing w:before="0" w:after="0" w:line="240" w:lineRule="auto"/>
        <w:jc w:val="both"/>
        <w:rPr>
          <w:rFonts w:ascii="Times New Roman" w:hAnsi="Times New Roman"/>
          <w:sz w:val="24"/>
          <w:szCs w:val="24"/>
        </w:rPr>
      </w:pPr>
    </w:p>
    <w:p w:rsidR="003333A5" w:rsidRPr="003333A5" w:rsidRDefault="003333A5" w:rsidP="00C133F2">
      <w:pPr>
        <w:spacing w:before="0" w:after="0" w:line="240" w:lineRule="auto"/>
        <w:jc w:val="both"/>
        <w:rPr>
          <w:rFonts w:ascii="Times New Roman" w:hAnsi="Times New Roman"/>
          <w:b/>
          <w:sz w:val="24"/>
          <w:szCs w:val="24"/>
        </w:rPr>
      </w:pPr>
      <w:r w:rsidRPr="003333A5">
        <w:rPr>
          <w:rFonts w:ascii="Times New Roman" w:hAnsi="Times New Roman"/>
          <w:b/>
          <w:sz w:val="24"/>
          <w:szCs w:val="24"/>
        </w:rPr>
        <w:t>a. Overview of approach</w:t>
      </w:r>
    </w:p>
    <w:p w:rsidR="001A54B1" w:rsidRDefault="001A54B1" w:rsidP="00C133F2">
      <w:pPr>
        <w:spacing w:before="0" w:after="0" w:line="240" w:lineRule="auto"/>
        <w:jc w:val="both"/>
        <w:rPr>
          <w:rFonts w:ascii="Times New Roman" w:hAnsi="Times New Roman"/>
          <w:sz w:val="24"/>
          <w:szCs w:val="24"/>
        </w:rPr>
      </w:pPr>
      <w:r>
        <w:rPr>
          <w:rFonts w:ascii="Times New Roman" w:hAnsi="Times New Roman"/>
          <w:sz w:val="24"/>
          <w:szCs w:val="24"/>
        </w:rPr>
        <w:t xml:space="preserve"> </w:t>
      </w:r>
    </w:p>
    <w:p w:rsidR="00B843D4" w:rsidRPr="00B843D4" w:rsidRDefault="007A7DA9" w:rsidP="00B843D4">
      <w:pPr>
        <w:spacing w:before="0" w:after="0" w:line="240" w:lineRule="auto"/>
        <w:jc w:val="both"/>
        <w:rPr>
          <w:rFonts w:ascii="Times New Roman" w:hAnsi="Times New Roman"/>
          <w:sz w:val="24"/>
          <w:szCs w:val="24"/>
        </w:rPr>
      </w:pPr>
      <w:r>
        <w:rPr>
          <w:rFonts w:ascii="Times New Roman" w:hAnsi="Times New Roman"/>
          <w:sz w:val="24"/>
          <w:szCs w:val="24"/>
        </w:rPr>
        <w:t>The Competitive Partnerships Initiative</w:t>
      </w:r>
      <w:r w:rsidR="00B843D4" w:rsidRPr="00B843D4">
        <w:rPr>
          <w:rFonts w:ascii="Times New Roman" w:hAnsi="Times New Roman"/>
          <w:sz w:val="24"/>
          <w:szCs w:val="24"/>
        </w:rPr>
        <w:t xml:space="preserve"> is informed by global good practice. It </w:t>
      </w:r>
      <w:r w:rsidR="00B843D4">
        <w:rPr>
          <w:rFonts w:ascii="Times New Roman" w:hAnsi="Times New Roman"/>
          <w:sz w:val="24"/>
          <w:szCs w:val="24"/>
        </w:rPr>
        <w:t>draws upon the</w:t>
      </w:r>
      <w:r w:rsidR="00B843D4" w:rsidRPr="00B843D4">
        <w:rPr>
          <w:rFonts w:ascii="Times New Roman" w:hAnsi="Times New Roman"/>
          <w:sz w:val="24"/>
          <w:szCs w:val="24"/>
        </w:rPr>
        <w:t xml:space="preserve"> experiences of a number of countries that have succeeded in developing new industries that compete effectively in global markets. Be it in electronics in Malaysia and Singapore, car parts and assembly in Morocco or central and eastern Europe, wine from South Africa, salmon from Chile or fresh asparagus from Peru, in all these cases governments played an active role in creating the foundation for sustained and strong private sector expansion and job creation. A sector-based clustering approach has also yielded results in industrial growth and jobs. For instance, the Malaysian Vision 2020 and Industry Master Plans framework led to the creation of industry clusters identified as growth-enhancing sectors ranging from electronics and engineering, ICT Multimedia Super Corridor, petrochemical, palm oil, textiles and apparel, agro-based products, automotive, and machinery among others. </w:t>
      </w:r>
    </w:p>
    <w:p w:rsidR="00B843D4" w:rsidRPr="00B843D4" w:rsidRDefault="00B843D4" w:rsidP="00B843D4">
      <w:pPr>
        <w:spacing w:before="0" w:after="0" w:line="240" w:lineRule="auto"/>
        <w:jc w:val="both"/>
        <w:rPr>
          <w:rFonts w:ascii="Times New Roman" w:hAnsi="Times New Roman"/>
          <w:sz w:val="24"/>
          <w:szCs w:val="24"/>
        </w:rPr>
      </w:pPr>
    </w:p>
    <w:p w:rsidR="00E2494A" w:rsidRPr="00DD5BD5" w:rsidRDefault="00B843D4" w:rsidP="00C133F2">
      <w:pPr>
        <w:spacing w:before="0" w:after="0" w:line="240" w:lineRule="auto"/>
        <w:jc w:val="both"/>
        <w:rPr>
          <w:rFonts w:ascii="Times New Roman" w:hAnsi="Times New Roman"/>
          <w:sz w:val="24"/>
          <w:szCs w:val="24"/>
        </w:rPr>
      </w:pPr>
      <w:r>
        <w:rPr>
          <w:rFonts w:ascii="Times New Roman" w:hAnsi="Times New Roman"/>
          <w:sz w:val="24"/>
          <w:szCs w:val="24"/>
        </w:rPr>
        <w:t>The</w:t>
      </w:r>
      <w:r w:rsidR="007A7DA9">
        <w:rPr>
          <w:rFonts w:ascii="Times New Roman" w:hAnsi="Times New Roman"/>
          <w:sz w:val="24"/>
          <w:szCs w:val="24"/>
        </w:rPr>
        <w:t xml:space="preserve"> Competitive Partnerships Initiative</w:t>
      </w:r>
      <w:r>
        <w:rPr>
          <w:rFonts w:ascii="Times New Roman" w:hAnsi="Times New Roman"/>
          <w:sz w:val="24"/>
          <w:szCs w:val="24"/>
        </w:rPr>
        <w:t xml:space="preserve"> </w:t>
      </w:r>
      <w:r w:rsidR="00E2494A">
        <w:rPr>
          <w:rFonts w:ascii="Times New Roman" w:hAnsi="Times New Roman"/>
          <w:sz w:val="24"/>
          <w:szCs w:val="24"/>
        </w:rPr>
        <w:t>encompasses the aspects of the cluster based approach but remove</w:t>
      </w:r>
      <w:r w:rsidR="00C133F2">
        <w:rPr>
          <w:rFonts w:ascii="Times New Roman" w:hAnsi="Times New Roman"/>
          <w:sz w:val="24"/>
          <w:szCs w:val="24"/>
        </w:rPr>
        <w:t xml:space="preserve">s the emphasis on a geographic concentration of industries and provides a holistic approach at sector competitiveness and growth. </w:t>
      </w:r>
      <w:r w:rsidR="00E2494A" w:rsidRPr="00DD5BD5">
        <w:rPr>
          <w:rFonts w:ascii="Times New Roman" w:hAnsi="Times New Roman"/>
          <w:sz w:val="24"/>
          <w:szCs w:val="24"/>
        </w:rPr>
        <w:t>Clusters might be part of the sector development process for a specific industry, when such industry is geographically concentrated. But clusters are only one tool in the sector development toolbox. What matter</w:t>
      </w:r>
      <w:r w:rsidR="002C6CC4">
        <w:rPr>
          <w:rFonts w:ascii="Times New Roman" w:hAnsi="Times New Roman"/>
          <w:sz w:val="24"/>
          <w:szCs w:val="24"/>
        </w:rPr>
        <w:t>s</w:t>
      </w:r>
      <w:r w:rsidR="00E2494A" w:rsidRPr="00DD5BD5">
        <w:rPr>
          <w:rFonts w:ascii="Times New Roman" w:hAnsi="Times New Roman"/>
          <w:sz w:val="24"/>
          <w:szCs w:val="24"/>
        </w:rPr>
        <w:t xml:space="preserve"> is the increased interaction with between stakeholders, and this can take place at many levels, </w:t>
      </w:r>
      <w:r w:rsidR="00E2494A">
        <w:rPr>
          <w:rFonts w:ascii="Times New Roman" w:hAnsi="Times New Roman"/>
          <w:sz w:val="24"/>
          <w:szCs w:val="24"/>
        </w:rPr>
        <w:t xml:space="preserve">whether </w:t>
      </w:r>
      <w:r w:rsidR="00E2494A" w:rsidRPr="00DD5BD5">
        <w:rPr>
          <w:rFonts w:ascii="Times New Roman" w:hAnsi="Times New Roman"/>
          <w:sz w:val="24"/>
          <w:szCs w:val="24"/>
        </w:rPr>
        <w:t xml:space="preserve">in a cluster manner or </w:t>
      </w:r>
      <w:r w:rsidR="00E2494A">
        <w:rPr>
          <w:rFonts w:ascii="Times New Roman" w:hAnsi="Times New Roman"/>
          <w:sz w:val="24"/>
          <w:szCs w:val="24"/>
        </w:rPr>
        <w:t>otherwise</w:t>
      </w:r>
      <w:r w:rsidR="00E2494A" w:rsidRPr="00DD5BD5">
        <w:rPr>
          <w:rFonts w:ascii="Times New Roman" w:hAnsi="Times New Roman"/>
          <w:sz w:val="24"/>
          <w:szCs w:val="24"/>
        </w:rPr>
        <w:t xml:space="preserve">. </w:t>
      </w:r>
      <w:r w:rsidR="00E2494A">
        <w:rPr>
          <w:rFonts w:ascii="Times New Roman" w:hAnsi="Times New Roman"/>
          <w:sz w:val="24"/>
          <w:szCs w:val="24"/>
        </w:rPr>
        <w:t xml:space="preserve">Hence, </w:t>
      </w:r>
      <w:r w:rsidR="00E2494A" w:rsidRPr="00DD5BD5">
        <w:rPr>
          <w:rFonts w:ascii="Times New Roman" w:hAnsi="Times New Roman"/>
          <w:sz w:val="24"/>
          <w:szCs w:val="24"/>
        </w:rPr>
        <w:t xml:space="preserve">the emphasis of this </w:t>
      </w:r>
      <w:r w:rsidR="00C133F2">
        <w:rPr>
          <w:rFonts w:ascii="Times New Roman" w:hAnsi="Times New Roman"/>
          <w:sz w:val="24"/>
          <w:szCs w:val="24"/>
        </w:rPr>
        <w:t xml:space="preserve">approach </w:t>
      </w:r>
      <w:r>
        <w:rPr>
          <w:rFonts w:ascii="Times New Roman" w:hAnsi="Times New Roman"/>
          <w:sz w:val="24"/>
          <w:szCs w:val="24"/>
        </w:rPr>
        <w:t>on sectors development and competitiveness.</w:t>
      </w:r>
      <w:r w:rsidR="00E2494A" w:rsidRPr="00DD5BD5">
        <w:rPr>
          <w:rFonts w:ascii="Times New Roman" w:hAnsi="Times New Roman"/>
          <w:sz w:val="24"/>
          <w:szCs w:val="24"/>
        </w:rPr>
        <w:t xml:space="preserve"> </w:t>
      </w:r>
    </w:p>
    <w:p w:rsidR="00E2494A" w:rsidRPr="00DD5BD5" w:rsidRDefault="00E2494A" w:rsidP="00E2494A">
      <w:pPr>
        <w:autoSpaceDE w:val="0"/>
        <w:autoSpaceDN w:val="0"/>
        <w:adjustRightInd w:val="0"/>
        <w:spacing w:before="0" w:after="0" w:line="240" w:lineRule="auto"/>
        <w:jc w:val="both"/>
        <w:rPr>
          <w:rFonts w:ascii="Times New Roman" w:hAnsi="Times New Roman"/>
          <w:sz w:val="24"/>
          <w:szCs w:val="24"/>
        </w:rPr>
      </w:pPr>
    </w:p>
    <w:p w:rsidR="00710307" w:rsidRDefault="00B843D4" w:rsidP="00DD5BD5">
      <w:pPr>
        <w:spacing w:before="0" w:after="0" w:line="240" w:lineRule="auto"/>
        <w:jc w:val="both"/>
        <w:rPr>
          <w:rFonts w:ascii="Times New Roman" w:hAnsi="Times New Roman"/>
          <w:sz w:val="24"/>
          <w:szCs w:val="24"/>
        </w:rPr>
      </w:pPr>
      <w:r>
        <w:rPr>
          <w:rFonts w:ascii="Times New Roman" w:hAnsi="Times New Roman"/>
          <w:sz w:val="24"/>
          <w:szCs w:val="24"/>
        </w:rPr>
        <w:t>The</w:t>
      </w:r>
      <w:r w:rsidR="007A7DA9">
        <w:rPr>
          <w:rFonts w:ascii="Times New Roman" w:hAnsi="Times New Roman"/>
          <w:sz w:val="24"/>
          <w:szCs w:val="24"/>
        </w:rPr>
        <w:t xml:space="preserve"> Competitive Partnerships Initiative</w:t>
      </w:r>
      <w:r>
        <w:rPr>
          <w:rFonts w:ascii="Times New Roman" w:hAnsi="Times New Roman"/>
          <w:sz w:val="24"/>
          <w:szCs w:val="24"/>
        </w:rPr>
        <w:t xml:space="preserve"> </w:t>
      </w:r>
      <w:r w:rsidR="00FB2D84">
        <w:rPr>
          <w:rFonts w:ascii="Times New Roman" w:hAnsi="Times New Roman"/>
          <w:sz w:val="24"/>
          <w:szCs w:val="24"/>
        </w:rPr>
        <w:t xml:space="preserve">recognizes the importance and role of three types of enterprises in strengthening the competitiveness of a sector. These are: </w:t>
      </w:r>
    </w:p>
    <w:p w:rsidR="00FB2D84" w:rsidRPr="00DD5BD5" w:rsidRDefault="00FB2D84" w:rsidP="00DD5BD5">
      <w:pPr>
        <w:spacing w:before="0" w:after="0" w:line="240" w:lineRule="auto"/>
        <w:jc w:val="both"/>
        <w:rPr>
          <w:rFonts w:ascii="Times New Roman" w:hAnsi="Times New Roman"/>
          <w:sz w:val="24"/>
          <w:szCs w:val="24"/>
        </w:rPr>
      </w:pPr>
    </w:p>
    <w:p w:rsidR="00B66F15" w:rsidRDefault="00B66F15" w:rsidP="00DD5BD5">
      <w:pPr>
        <w:numPr>
          <w:ilvl w:val="0"/>
          <w:numId w:val="6"/>
        </w:numPr>
        <w:spacing w:before="0" w:after="0" w:line="240" w:lineRule="auto"/>
        <w:jc w:val="both"/>
        <w:rPr>
          <w:rFonts w:ascii="Times New Roman" w:hAnsi="Times New Roman"/>
          <w:sz w:val="24"/>
          <w:szCs w:val="24"/>
        </w:rPr>
      </w:pPr>
      <w:r w:rsidRPr="00DD5BD5">
        <w:rPr>
          <w:rFonts w:ascii="Times New Roman" w:hAnsi="Times New Roman"/>
          <w:sz w:val="24"/>
          <w:szCs w:val="24"/>
        </w:rPr>
        <w:lastRenderedPageBreak/>
        <w:t xml:space="preserve">Market </w:t>
      </w:r>
      <w:r w:rsidR="00FB2D84">
        <w:rPr>
          <w:rFonts w:ascii="Times New Roman" w:hAnsi="Times New Roman"/>
          <w:sz w:val="24"/>
          <w:szCs w:val="24"/>
        </w:rPr>
        <w:t>Creators: L</w:t>
      </w:r>
      <w:r w:rsidRPr="00DD5BD5">
        <w:rPr>
          <w:rFonts w:ascii="Times New Roman" w:hAnsi="Times New Roman"/>
          <w:sz w:val="24"/>
          <w:szCs w:val="24"/>
        </w:rPr>
        <w:t xml:space="preserve">ead firms </w:t>
      </w:r>
      <w:r w:rsidR="00FB2D84">
        <w:rPr>
          <w:rFonts w:ascii="Times New Roman" w:hAnsi="Times New Roman"/>
          <w:sz w:val="24"/>
          <w:szCs w:val="24"/>
        </w:rPr>
        <w:t xml:space="preserve">that </w:t>
      </w:r>
      <w:r w:rsidRPr="00DD5BD5">
        <w:rPr>
          <w:rFonts w:ascii="Times New Roman" w:hAnsi="Times New Roman"/>
          <w:sz w:val="24"/>
          <w:szCs w:val="24"/>
        </w:rPr>
        <w:t>need to be ready and willing to engage with investors to produce clearly defined products or services demanded in the global markets</w:t>
      </w:r>
    </w:p>
    <w:p w:rsidR="00FB2D84" w:rsidRPr="00DD5BD5" w:rsidRDefault="00FB2D84" w:rsidP="00FB2D84">
      <w:pPr>
        <w:spacing w:before="0" w:after="0" w:line="240" w:lineRule="auto"/>
        <w:ind w:left="720"/>
        <w:jc w:val="both"/>
        <w:rPr>
          <w:rFonts w:ascii="Times New Roman" w:hAnsi="Times New Roman"/>
          <w:sz w:val="24"/>
          <w:szCs w:val="24"/>
        </w:rPr>
      </w:pPr>
    </w:p>
    <w:p w:rsidR="00B66F15" w:rsidRDefault="00FB2D84" w:rsidP="00DD5BD5">
      <w:pPr>
        <w:numPr>
          <w:ilvl w:val="0"/>
          <w:numId w:val="6"/>
        </w:numPr>
        <w:spacing w:before="0" w:after="0" w:line="240" w:lineRule="auto"/>
        <w:jc w:val="both"/>
        <w:rPr>
          <w:rFonts w:ascii="Times New Roman" w:hAnsi="Times New Roman"/>
          <w:sz w:val="24"/>
          <w:szCs w:val="24"/>
        </w:rPr>
      </w:pPr>
      <w:r>
        <w:rPr>
          <w:rFonts w:ascii="Times New Roman" w:hAnsi="Times New Roman"/>
          <w:sz w:val="24"/>
          <w:szCs w:val="24"/>
        </w:rPr>
        <w:t xml:space="preserve">Intermediators: </w:t>
      </w:r>
      <w:r w:rsidR="00B66F15" w:rsidRPr="00DD5BD5">
        <w:rPr>
          <w:rFonts w:ascii="Times New Roman" w:hAnsi="Times New Roman"/>
          <w:sz w:val="24"/>
          <w:szCs w:val="24"/>
        </w:rPr>
        <w:t xml:space="preserve"> typically domestic SMEs or MSMEs</w:t>
      </w:r>
      <w:r w:rsidR="00FC268A">
        <w:rPr>
          <w:rFonts w:ascii="Times New Roman" w:hAnsi="Times New Roman"/>
          <w:sz w:val="24"/>
          <w:szCs w:val="24"/>
        </w:rPr>
        <w:t xml:space="preserve"> which </w:t>
      </w:r>
      <w:r w:rsidR="00B66F15" w:rsidRPr="00DD5BD5">
        <w:rPr>
          <w:rFonts w:ascii="Times New Roman" w:hAnsi="Times New Roman"/>
          <w:sz w:val="24"/>
          <w:szCs w:val="24"/>
        </w:rPr>
        <w:t>supply inputs such as raw materials, components and services</w:t>
      </w:r>
      <w:r w:rsidR="00FC268A">
        <w:rPr>
          <w:rFonts w:ascii="Times New Roman" w:hAnsi="Times New Roman"/>
          <w:sz w:val="24"/>
          <w:szCs w:val="24"/>
        </w:rPr>
        <w:t>,</w:t>
      </w:r>
      <w:r w:rsidR="00B66F15" w:rsidRPr="00DD5BD5">
        <w:rPr>
          <w:rFonts w:ascii="Times New Roman" w:hAnsi="Times New Roman"/>
          <w:sz w:val="24"/>
          <w:szCs w:val="24"/>
        </w:rPr>
        <w:t xml:space="preserve"> need to be able to meet the needs of the Market Creators</w:t>
      </w:r>
    </w:p>
    <w:p w:rsidR="00FB2D84" w:rsidRDefault="00FB2D84" w:rsidP="00FB2D84">
      <w:pPr>
        <w:spacing w:before="0" w:after="0" w:line="240" w:lineRule="auto"/>
        <w:jc w:val="both"/>
        <w:rPr>
          <w:rFonts w:ascii="Times New Roman" w:hAnsi="Times New Roman"/>
          <w:sz w:val="24"/>
          <w:szCs w:val="24"/>
        </w:rPr>
      </w:pPr>
    </w:p>
    <w:p w:rsidR="00B66F15" w:rsidRPr="00DD5BD5" w:rsidRDefault="00B66F15" w:rsidP="00DD5BD5">
      <w:pPr>
        <w:numPr>
          <w:ilvl w:val="0"/>
          <w:numId w:val="6"/>
        </w:numPr>
        <w:spacing w:before="0" w:after="0" w:line="240" w:lineRule="auto"/>
        <w:jc w:val="both"/>
        <w:rPr>
          <w:rFonts w:ascii="Times New Roman" w:hAnsi="Times New Roman"/>
          <w:sz w:val="24"/>
          <w:szCs w:val="24"/>
        </w:rPr>
      </w:pPr>
      <w:r w:rsidRPr="00DD5BD5">
        <w:rPr>
          <w:rFonts w:ascii="Times New Roman" w:hAnsi="Times New Roman"/>
          <w:sz w:val="24"/>
          <w:szCs w:val="24"/>
        </w:rPr>
        <w:t xml:space="preserve">Foundation </w:t>
      </w:r>
      <w:r w:rsidR="00FB2D84">
        <w:rPr>
          <w:rFonts w:ascii="Times New Roman" w:hAnsi="Times New Roman"/>
          <w:sz w:val="24"/>
          <w:szCs w:val="24"/>
        </w:rPr>
        <w:t xml:space="preserve">Providers: </w:t>
      </w:r>
      <w:r w:rsidRPr="00DD5BD5">
        <w:rPr>
          <w:rFonts w:ascii="Times New Roman" w:hAnsi="Times New Roman"/>
          <w:sz w:val="24"/>
          <w:szCs w:val="24"/>
        </w:rPr>
        <w:t>providers such as financial institutions, training centers and the government itself need to be able to provide the basis for this ecology of firms to function effectively.</w:t>
      </w:r>
    </w:p>
    <w:p w:rsidR="00A732A5" w:rsidRDefault="00A732A5" w:rsidP="00DD5BD5">
      <w:pPr>
        <w:spacing w:before="0" w:after="0" w:line="240" w:lineRule="auto"/>
        <w:jc w:val="both"/>
        <w:rPr>
          <w:rFonts w:ascii="Times New Roman" w:hAnsi="Times New Roman"/>
          <w:sz w:val="24"/>
          <w:szCs w:val="24"/>
        </w:rPr>
      </w:pPr>
    </w:p>
    <w:p w:rsidR="00A732A5" w:rsidRDefault="00A732A5" w:rsidP="00DD5BD5">
      <w:pPr>
        <w:spacing w:before="0" w:after="0" w:line="240" w:lineRule="auto"/>
        <w:jc w:val="both"/>
        <w:rPr>
          <w:rFonts w:ascii="Times New Roman" w:hAnsi="Times New Roman"/>
          <w:sz w:val="24"/>
          <w:szCs w:val="24"/>
        </w:rPr>
      </w:pPr>
    </w:p>
    <w:p w:rsidR="00FC268A" w:rsidRPr="00B843D4" w:rsidRDefault="005459B2" w:rsidP="00DD5BD5">
      <w:pPr>
        <w:spacing w:before="0" w:after="0" w:line="240" w:lineRule="auto"/>
        <w:jc w:val="both"/>
        <w:rPr>
          <w:rFonts w:ascii="Times New Roman" w:hAnsi="Times New Roman"/>
          <w:b/>
          <w:sz w:val="24"/>
          <w:szCs w:val="24"/>
        </w:rPr>
      </w:pPr>
      <w:r>
        <w:rPr>
          <w:rFonts w:ascii="Times New Roman" w:hAnsi="Times New Roman"/>
          <w:b/>
          <w:sz w:val="24"/>
          <w:szCs w:val="24"/>
        </w:rPr>
        <w:t xml:space="preserve">Figure 1: The </w:t>
      </w:r>
      <w:r w:rsidR="00E10D43">
        <w:rPr>
          <w:rFonts w:ascii="Times New Roman" w:hAnsi="Times New Roman"/>
          <w:b/>
          <w:sz w:val="24"/>
          <w:szCs w:val="24"/>
        </w:rPr>
        <w:t>Competitive</w:t>
      </w:r>
      <w:r w:rsidR="00FB2D84">
        <w:rPr>
          <w:rFonts w:ascii="Times New Roman" w:hAnsi="Times New Roman"/>
          <w:b/>
          <w:sz w:val="24"/>
          <w:szCs w:val="24"/>
        </w:rPr>
        <w:t xml:space="preserve"> </w:t>
      </w:r>
      <w:r>
        <w:rPr>
          <w:rFonts w:ascii="Times New Roman" w:hAnsi="Times New Roman"/>
          <w:b/>
          <w:sz w:val="24"/>
          <w:szCs w:val="24"/>
        </w:rPr>
        <w:t>Partnerships Initiative</w:t>
      </w:r>
    </w:p>
    <w:p w:rsidR="00B66F15" w:rsidRPr="00DD5BD5" w:rsidRDefault="00374803" w:rsidP="00DD5BD5">
      <w:pPr>
        <w:spacing w:before="0" w:after="0" w:line="240" w:lineRule="auto"/>
        <w:jc w:val="both"/>
        <w:rPr>
          <w:rFonts w:ascii="Times New Roman" w:hAnsi="Times New Roman"/>
          <w:sz w:val="24"/>
          <w:szCs w:val="24"/>
        </w:rPr>
      </w:pPr>
      <w:r>
        <w:rPr>
          <w:rFonts w:ascii="Times New Roman" w:hAnsi="Times New Roman"/>
          <w:noProof/>
          <w:sz w:val="24"/>
          <w:szCs w:val="24"/>
        </w:rPr>
        <w:drawing>
          <wp:inline distT="0" distB="0" distL="0" distR="0">
            <wp:extent cx="5853936" cy="25527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853936" cy="2552700"/>
                    </a:xfrm>
                    <a:prstGeom prst="rect">
                      <a:avLst/>
                    </a:prstGeom>
                    <a:noFill/>
                    <a:ln w="9525">
                      <a:noFill/>
                      <a:miter lim="800000"/>
                      <a:headEnd/>
                      <a:tailEnd/>
                    </a:ln>
                  </pic:spPr>
                </pic:pic>
              </a:graphicData>
            </a:graphic>
          </wp:inline>
        </w:drawing>
      </w:r>
    </w:p>
    <w:p w:rsidR="00B66F15" w:rsidRPr="00DD5BD5" w:rsidRDefault="00B66F15" w:rsidP="00DD5BD5">
      <w:pPr>
        <w:spacing w:before="0" w:after="0" w:line="240" w:lineRule="auto"/>
        <w:jc w:val="both"/>
        <w:rPr>
          <w:rFonts w:ascii="Times New Roman" w:hAnsi="Times New Roman"/>
          <w:sz w:val="24"/>
          <w:szCs w:val="24"/>
        </w:rPr>
      </w:pPr>
    </w:p>
    <w:p w:rsidR="00B66F15" w:rsidRPr="00DD5BD5" w:rsidRDefault="00B66F15" w:rsidP="00DD5BD5">
      <w:pPr>
        <w:spacing w:before="0" w:after="0" w:line="240" w:lineRule="auto"/>
        <w:jc w:val="both"/>
        <w:rPr>
          <w:rFonts w:ascii="Times New Roman" w:hAnsi="Times New Roman"/>
          <w:sz w:val="24"/>
          <w:szCs w:val="24"/>
        </w:rPr>
      </w:pPr>
    </w:p>
    <w:p w:rsidR="00FB2D84" w:rsidRDefault="00FB2D84" w:rsidP="00DD5BD5">
      <w:pPr>
        <w:spacing w:before="0" w:after="0" w:line="240" w:lineRule="auto"/>
        <w:jc w:val="both"/>
        <w:rPr>
          <w:rFonts w:ascii="Times New Roman" w:hAnsi="Times New Roman"/>
          <w:sz w:val="24"/>
          <w:szCs w:val="24"/>
          <w:u w:val="single"/>
        </w:rPr>
      </w:pPr>
    </w:p>
    <w:p w:rsidR="00FB2D84" w:rsidRDefault="00FB2D84" w:rsidP="00DD5BD5">
      <w:pPr>
        <w:spacing w:before="0" w:after="0" w:line="240" w:lineRule="auto"/>
        <w:jc w:val="both"/>
        <w:rPr>
          <w:rFonts w:ascii="Times New Roman" w:hAnsi="Times New Roman"/>
          <w:sz w:val="24"/>
          <w:szCs w:val="24"/>
          <w:u w:val="single"/>
        </w:rPr>
      </w:pPr>
    </w:p>
    <w:p w:rsidR="00FB2D84" w:rsidRPr="00FB2D84" w:rsidRDefault="00FB2D84" w:rsidP="00DD5BD5">
      <w:pPr>
        <w:spacing w:before="0" w:after="0" w:line="240" w:lineRule="auto"/>
        <w:jc w:val="both"/>
        <w:rPr>
          <w:rFonts w:ascii="Times New Roman" w:hAnsi="Times New Roman"/>
          <w:sz w:val="24"/>
          <w:szCs w:val="24"/>
        </w:rPr>
      </w:pPr>
      <w:r>
        <w:rPr>
          <w:rFonts w:ascii="Times New Roman" w:hAnsi="Times New Roman"/>
          <w:sz w:val="24"/>
          <w:szCs w:val="24"/>
        </w:rPr>
        <w:t xml:space="preserve">The </w:t>
      </w:r>
      <w:r w:rsidR="005459B2">
        <w:rPr>
          <w:rFonts w:ascii="Times New Roman" w:hAnsi="Times New Roman"/>
          <w:sz w:val="24"/>
          <w:szCs w:val="24"/>
        </w:rPr>
        <w:t>Competitive Partnerships Initiative</w:t>
      </w:r>
      <w:r>
        <w:rPr>
          <w:rFonts w:ascii="Times New Roman" w:hAnsi="Times New Roman"/>
          <w:sz w:val="24"/>
          <w:szCs w:val="24"/>
        </w:rPr>
        <w:t xml:space="preserve"> typically has four phases: </w:t>
      </w:r>
    </w:p>
    <w:p w:rsidR="00FB2D84" w:rsidRDefault="00FB2D84" w:rsidP="00DD5BD5">
      <w:pPr>
        <w:spacing w:before="0" w:after="0" w:line="240" w:lineRule="auto"/>
        <w:jc w:val="both"/>
        <w:rPr>
          <w:rFonts w:ascii="Times New Roman" w:hAnsi="Times New Roman"/>
          <w:sz w:val="24"/>
          <w:szCs w:val="24"/>
          <w:u w:val="single"/>
        </w:rPr>
      </w:pPr>
    </w:p>
    <w:p w:rsidR="00B66F15" w:rsidRPr="00DD5BD5" w:rsidRDefault="00B66F15" w:rsidP="00DD5BD5">
      <w:pPr>
        <w:spacing w:before="0" w:after="0" w:line="240" w:lineRule="auto"/>
        <w:jc w:val="both"/>
        <w:rPr>
          <w:rFonts w:ascii="Times New Roman" w:hAnsi="Times New Roman"/>
          <w:sz w:val="24"/>
          <w:szCs w:val="24"/>
        </w:rPr>
      </w:pPr>
      <w:r w:rsidRPr="006B7A63">
        <w:rPr>
          <w:rFonts w:ascii="Times New Roman" w:hAnsi="Times New Roman"/>
          <w:sz w:val="24"/>
          <w:szCs w:val="24"/>
          <w:u w:val="single"/>
        </w:rPr>
        <w:t>Phase 1</w:t>
      </w:r>
      <w:r w:rsidRPr="00DD5BD5">
        <w:rPr>
          <w:rFonts w:ascii="Times New Roman" w:hAnsi="Times New Roman"/>
          <w:sz w:val="24"/>
          <w:szCs w:val="24"/>
        </w:rPr>
        <w:t xml:space="preserve">- </w:t>
      </w:r>
      <w:r w:rsidR="00FB2D84">
        <w:rPr>
          <w:rFonts w:ascii="Times New Roman" w:hAnsi="Times New Roman"/>
          <w:sz w:val="24"/>
          <w:szCs w:val="24"/>
        </w:rPr>
        <w:t xml:space="preserve">Identification: A </w:t>
      </w:r>
      <w:r w:rsidRPr="00DD5BD5">
        <w:rPr>
          <w:rFonts w:ascii="Times New Roman" w:hAnsi="Times New Roman"/>
          <w:sz w:val="24"/>
          <w:szCs w:val="24"/>
        </w:rPr>
        <w:t>rapid analysis of</w:t>
      </w:r>
      <w:r w:rsidR="00FB2D84">
        <w:rPr>
          <w:rFonts w:ascii="Times New Roman" w:hAnsi="Times New Roman"/>
          <w:sz w:val="24"/>
          <w:szCs w:val="24"/>
        </w:rPr>
        <w:t xml:space="preserve"> the competitiveness of </w:t>
      </w:r>
      <w:r w:rsidRPr="00DD5BD5">
        <w:rPr>
          <w:rFonts w:ascii="Times New Roman" w:hAnsi="Times New Roman"/>
          <w:sz w:val="24"/>
          <w:szCs w:val="24"/>
        </w:rPr>
        <w:t xml:space="preserve">specific industries (with a particular look at the demand side), in order to help market players and government identify those </w:t>
      </w:r>
      <w:r w:rsidR="00710307" w:rsidRPr="00DD5BD5">
        <w:rPr>
          <w:rFonts w:ascii="Times New Roman" w:hAnsi="Times New Roman"/>
          <w:sz w:val="24"/>
          <w:szCs w:val="24"/>
        </w:rPr>
        <w:t>sub-</w:t>
      </w:r>
      <w:r w:rsidRPr="00DD5BD5">
        <w:rPr>
          <w:rFonts w:ascii="Times New Roman" w:hAnsi="Times New Roman"/>
          <w:sz w:val="24"/>
          <w:szCs w:val="24"/>
        </w:rPr>
        <w:t xml:space="preserve">industries and products where </w:t>
      </w:r>
      <w:r w:rsidR="00FB2D84">
        <w:rPr>
          <w:rFonts w:ascii="Times New Roman" w:hAnsi="Times New Roman"/>
          <w:sz w:val="24"/>
          <w:szCs w:val="24"/>
        </w:rPr>
        <w:t xml:space="preserve">the country </w:t>
      </w:r>
      <w:r w:rsidRPr="00DD5BD5">
        <w:rPr>
          <w:rFonts w:ascii="Times New Roman" w:hAnsi="Times New Roman"/>
          <w:sz w:val="24"/>
          <w:szCs w:val="24"/>
        </w:rPr>
        <w:t>has the best opportunity to be competitive, particularly in terms of boosting exports and attracting FDI.</w:t>
      </w:r>
    </w:p>
    <w:p w:rsidR="00B66F15" w:rsidRPr="00DD5BD5" w:rsidRDefault="00B66F15" w:rsidP="00DD5BD5">
      <w:pPr>
        <w:spacing w:before="0" w:after="0" w:line="240" w:lineRule="auto"/>
        <w:jc w:val="both"/>
        <w:rPr>
          <w:rFonts w:ascii="Times New Roman" w:hAnsi="Times New Roman"/>
          <w:sz w:val="24"/>
          <w:szCs w:val="24"/>
        </w:rPr>
      </w:pPr>
    </w:p>
    <w:p w:rsidR="00B66F15" w:rsidRPr="00DD5BD5" w:rsidRDefault="00B66F15" w:rsidP="00FB2D84">
      <w:pPr>
        <w:spacing w:before="0" w:after="0" w:line="240" w:lineRule="auto"/>
        <w:jc w:val="both"/>
        <w:rPr>
          <w:rFonts w:ascii="Times New Roman" w:hAnsi="Times New Roman"/>
          <w:sz w:val="24"/>
          <w:szCs w:val="24"/>
        </w:rPr>
      </w:pPr>
      <w:r w:rsidRPr="006B7A63">
        <w:rPr>
          <w:rFonts w:ascii="Times New Roman" w:hAnsi="Times New Roman"/>
          <w:sz w:val="24"/>
          <w:szCs w:val="24"/>
          <w:u w:val="single"/>
        </w:rPr>
        <w:t>Phase 2</w:t>
      </w:r>
      <w:r w:rsidRPr="00DD5BD5">
        <w:rPr>
          <w:rFonts w:ascii="Times New Roman" w:hAnsi="Times New Roman"/>
          <w:sz w:val="24"/>
          <w:szCs w:val="24"/>
        </w:rPr>
        <w:t xml:space="preserve">- </w:t>
      </w:r>
      <w:r w:rsidR="00FB2D84">
        <w:rPr>
          <w:rFonts w:ascii="Times New Roman" w:hAnsi="Times New Roman"/>
          <w:sz w:val="24"/>
          <w:szCs w:val="24"/>
        </w:rPr>
        <w:t xml:space="preserve">Sub-Industry Analysis: A deeper analysis of </w:t>
      </w:r>
      <w:r w:rsidRPr="00DD5BD5">
        <w:rPr>
          <w:rFonts w:ascii="Times New Roman" w:hAnsi="Times New Roman"/>
          <w:sz w:val="24"/>
          <w:szCs w:val="24"/>
        </w:rPr>
        <w:t>target</w:t>
      </w:r>
      <w:r w:rsidR="00FB2D84">
        <w:rPr>
          <w:rFonts w:ascii="Times New Roman" w:hAnsi="Times New Roman"/>
          <w:sz w:val="24"/>
          <w:szCs w:val="24"/>
        </w:rPr>
        <w:t>ed</w:t>
      </w:r>
      <w:r w:rsidRPr="00DD5BD5">
        <w:rPr>
          <w:rFonts w:ascii="Times New Roman" w:hAnsi="Times New Roman"/>
          <w:sz w:val="24"/>
          <w:szCs w:val="24"/>
        </w:rPr>
        <w:t xml:space="preserve"> sub-industr</w:t>
      </w:r>
      <w:r w:rsidR="00FB2D84">
        <w:rPr>
          <w:rFonts w:ascii="Times New Roman" w:hAnsi="Times New Roman"/>
          <w:sz w:val="24"/>
          <w:szCs w:val="24"/>
        </w:rPr>
        <w:t>ies</w:t>
      </w:r>
      <w:r w:rsidRPr="00DD5BD5">
        <w:rPr>
          <w:rFonts w:ascii="Times New Roman" w:hAnsi="Times New Roman"/>
          <w:sz w:val="24"/>
          <w:szCs w:val="24"/>
        </w:rPr>
        <w:t xml:space="preserve"> to identify specific factors that constrain </w:t>
      </w:r>
      <w:r w:rsidR="00FB2D84">
        <w:rPr>
          <w:rFonts w:ascii="Times New Roman" w:hAnsi="Times New Roman"/>
          <w:sz w:val="24"/>
          <w:szCs w:val="24"/>
        </w:rPr>
        <w:t xml:space="preserve">sector </w:t>
      </w:r>
      <w:r w:rsidRPr="00DD5BD5">
        <w:rPr>
          <w:rFonts w:ascii="Times New Roman" w:hAnsi="Times New Roman"/>
          <w:sz w:val="24"/>
          <w:szCs w:val="24"/>
        </w:rPr>
        <w:t xml:space="preserve">competitiveness </w:t>
      </w:r>
    </w:p>
    <w:p w:rsidR="00B66F15" w:rsidRPr="00DD5BD5" w:rsidRDefault="00B66F15" w:rsidP="00DD5BD5">
      <w:pPr>
        <w:spacing w:before="0" w:after="0" w:line="240" w:lineRule="auto"/>
        <w:jc w:val="both"/>
        <w:rPr>
          <w:rFonts w:ascii="Times New Roman" w:hAnsi="Times New Roman"/>
          <w:sz w:val="24"/>
          <w:szCs w:val="24"/>
        </w:rPr>
      </w:pPr>
    </w:p>
    <w:p w:rsidR="00B66F15" w:rsidRPr="00DD5BD5" w:rsidRDefault="00B66F15" w:rsidP="00DD5BD5">
      <w:pPr>
        <w:spacing w:before="0" w:after="0" w:line="240" w:lineRule="auto"/>
        <w:jc w:val="both"/>
        <w:rPr>
          <w:rFonts w:ascii="Times New Roman" w:hAnsi="Times New Roman"/>
          <w:sz w:val="24"/>
          <w:szCs w:val="24"/>
        </w:rPr>
      </w:pPr>
      <w:r w:rsidRPr="006B7A63">
        <w:rPr>
          <w:rFonts w:ascii="Times New Roman" w:hAnsi="Times New Roman"/>
          <w:sz w:val="24"/>
          <w:szCs w:val="24"/>
          <w:u w:val="single"/>
        </w:rPr>
        <w:t>Phase 3</w:t>
      </w:r>
      <w:r w:rsidRPr="00DD5BD5">
        <w:rPr>
          <w:rFonts w:ascii="Times New Roman" w:hAnsi="Times New Roman"/>
          <w:sz w:val="24"/>
          <w:szCs w:val="24"/>
        </w:rPr>
        <w:t xml:space="preserve">- </w:t>
      </w:r>
      <w:r w:rsidR="00FB2D84">
        <w:rPr>
          <w:rFonts w:ascii="Times New Roman" w:hAnsi="Times New Roman"/>
          <w:sz w:val="24"/>
          <w:szCs w:val="24"/>
        </w:rPr>
        <w:t xml:space="preserve">Development of Action Plan: </w:t>
      </w:r>
      <w:r w:rsidRPr="00DD5BD5">
        <w:rPr>
          <w:rFonts w:ascii="Times New Roman" w:hAnsi="Times New Roman"/>
          <w:sz w:val="24"/>
          <w:szCs w:val="24"/>
        </w:rPr>
        <w:t xml:space="preserve">Use this analysis to </w:t>
      </w:r>
      <w:r w:rsidR="00FB2D84">
        <w:rPr>
          <w:rFonts w:ascii="Times New Roman" w:hAnsi="Times New Roman"/>
          <w:sz w:val="24"/>
          <w:szCs w:val="24"/>
        </w:rPr>
        <w:t xml:space="preserve">develop </w:t>
      </w:r>
      <w:r w:rsidRPr="00DD5BD5">
        <w:rPr>
          <w:rFonts w:ascii="Times New Roman" w:hAnsi="Times New Roman"/>
          <w:sz w:val="24"/>
          <w:szCs w:val="24"/>
        </w:rPr>
        <w:t>a targeted action plan to systematically remove constraints</w:t>
      </w:r>
      <w:r w:rsidR="00143491">
        <w:rPr>
          <w:rFonts w:ascii="Times New Roman" w:hAnsi="Times New Roman"/>
          <w:sz w:val="24"/>
          <w:szCs w:val="24"/>
        </w:rPr>
        <w:t xml:space="preserve">, prioritizing those constraints that are expected to have the </w:t>
      </w:r>
      <w:r w:rsidR="00143491">
        <w:rPr>
          <w:rFonts w:ascii="Times New Roman" w:hAnsi="Times New Roman"/>
          <w:sz w:val="24"/>
          <w:szCs w:val="24"/>
        </w:rPr>
        <w:lastRenderedPageBreak/>
        <w:t>biggest impact on increased investment in the short term</w:t>
      </w:r>
      <w:r w:rsidR="00FB2D84">
        <w:rPr>
          <w:rFonts w:ascii="Times New Roman" w:hAnsi="Times New Roman"/>
          <w:sz w:val="24"/>
          <w:szCs w:val="24"/>
        </w:rPr>
        <w:t xml:space="preserve">. This </w:t>
      </w:r>
      <w:r w:rsidRPr="00DD5BD5">
        <w:rPr>
          <w:rFonts w:ascii="Times New Roman" w:hAnsi="Times New Roman"/>
          <w:sz w:val="24"/>
          <w:szCs w:val="24"/>
        </w:rPr>
        <w:t>take</w:t>
      </w:r>
      <w:r w:rsidR="00FB2D84">
        <w:rPr>
          <w:rFonts w:ascii="Times New Roman" w:hAnsi="Times New Roman"/>
          <w:sz w:val="24"/>
          <w:szCs w:val="24"/>
        </w:rPr>
        <w:t>s</w:t>
      </w:r>
      <w:r w:rsidRPr="00DD5BD5">
        <w:rPr>
          <w:rFonts w:ascii="Times New Roman" w:hAnsi="Times New Roman"/>
          <w:sz w:val="24"/>
          <w:szCs w:val="24"/>
        </w:rPr>
        <w:t xml:space="preserve"> place through structured public private sector level workshops</w:t>
      </w:r>
      <w:r w:rsidR="00FB2D84">
        <w:rPr>
          <w:rFonts w:ascii="Times New Roman" w:hAnsi="Times New Roman"/>
          <w:sz w:val="24"/>
          <w:szCs w:val="24"/>
        </w:rPr>
        <w:t>.</w:t>
      </w:r>
    </w:p>
    <w:p w:rsidR="00B66F15" w:rsidRPr="00DD5BD5" w:rsidRDefault="00B66F15" w:rsidP="00DD5BD5">
      <w:pPr>
        <w:spacing w:before="0" w:after="0" w:line="240" w:lineRule="auto"/>
        <w:jc w:val="both"/>
        <w:rPr>
          <w:rFonts w:ascii="Times New Roman" w:hAnsi="Times New Roman"/>
          <w:sz w:val="24"/>
          <w:szCs w:val="24"/>
        </w:rPr>
      </w:pPr>
    </w:p>
    <w:p w:rsidR="00C97490" w:rsidRPr="003333A5" w:rsidRDefault="00B66F15" w:rsidP="003333A5">
      <w:pPr>
        <w:spacing w:before="0" w:after="0" w:line="240" w:lineRule="auto"/>
        <w:jc w:val="both"/>
        <w:rPr>
          <w:rFonts w:ascii="Times New Roman" w:hAnsi="Times New Roman"/>
          <w:sz w:val="24"/>
          <w:szCs w:val="24"/>
        </w:rPr>
      </w:pPr>
      <w:r w:rsidRPr="006B7A63">
        <w:rPr>
          <w:rFonts w:ascii="Times New Roman" w:hAnsi="Times New Roman"/>
          <w:sz w:val="24"/>
          <w:szCs w:val="24"/>
          <w:u w:val="single"/>
        </w:rPr>
        <w:t>Phase 4</w:t>
      </w:r>
      <w:r w:rsidRPr="00DD5BD5">
        <w:rPr>
          <w:rFonts w:ascii="Times New Roman" w:hAnsi="Times New Roman"/>
          <w:sz w:val="24"/>
          <w:szCs w:val="24"/>
        </w:rPr>
        <w:t xml:space="preserve">- </w:t>
      </w:r>
      <w:r w:rsidR="00FB2D84">
        <w:rPr>
          <w:rFonts w:ascii="Times New Roman" w:hAnsi="Times New Roman"/>
          <w:sz w:val="24"/>
          <w:szCs w:val="24"/>
        </w:rPr>
        <w:t xml:space="preserve">Implementation: Undertake the necessary reforms for a given sub-industry. </w:t>
      </w:r>
      <w:r w:rsidRPr="00DD5BD5">
        <w:rPr>
          <w:rFonts w:ascii="Times New Roman" w:hAnsi="Times New Roman"/>
          <w:sz w:val="24"/>
          <w:szCs w:val="24"/>
        </w:rPr>
        <w:t>The types of actions for a</w:t>
      </w:r>
      <w:r w:rsidR="003333A5">
        <w:rPr>
          <w:rFonts w:ascii="Times New Roman" w:hAnsi="Times New Roman"/>
          <w:sz w:val="24"/>
          <w:szCs w:val="24"/>
        </w:rPr>
        <w:t xml:space="preserve"> given sub-sector may include (i) </w:t>
      </w:r>
      <w:r w:rsidR="00C97490" w:rsidRPr="00A477B5">
        <w:rPr>
          <w:rFonts w:ascii="Times New Roman" w:hAnsi="Times New Roman"/>
          <w:sz w:val="24"/>
          <w:szCs w:val="24"/>
        </w:rPr>
        <w:t>Industry</w:t>
      </w:r>
      <w:r w:rsidR="00C97490">
        <w:rPr>
          <w:rFonts w:ascii="Times New Roman" w:hAnsi="Times New Roman"/>
          <w:sz w:val="24"/>
          <w:szCs w:val="24"/>
        </w:rPr>
        <w:t>-specific</w:t>
      </w:r>
      <w:r w:rsidR="00C97490" w:rsidRPr="00A477B5">
        <w:rPr>
          <w:rFonts w:ascii="Times New Roman" w:hAnsi="Times New Roman"/>
          <w:sz w:val="24"/>
          <w:szCs w:val="24"/>
        </w:rPr>
        <w:t xml:space="preserve"> </w:t>
      </w:r>
      <w:r w:rsidR="00C97490">
        <w:rPr>
          <w:rFonts w:ascii="Times New Roman" w:hAnsi="Times New Roman"/>
          <w:sz w:val="24"/>
          <w:szCs w:val="24"/>
        </w:rPr>
        <w:t>p</w:t>
      </w:r>
      <w:r w:rsidR="00C97490" w:rsidRPr="00A477B5">
        <w:rPr>
          <w:rFonts w:ascii="Times New Roman" w:hAnsi="Times New Roman"/>
          <w:sz w:val="24"/>
          <w:szCs w:val="24"/>
        </w:rPr>
        <w:t xml:space="preserve">olicy </w:t>
      </w:r>
      <w:r w:rsidR="00C97490">
        <w:rPr>
          <w:rFonts w:ascii="Times New Roman" w:hAnsi="Times New Roman"/>
          <w:sz w:val="24"/>
          <w:szCs w:val="24"/>
        </w:rPr>
        <w:t xml:space="preserve">and regulatory </w:t>
      </w:r>
      <w:r w:rsidR="00C97490" w:rsidRPr="00A477B5">
        <w:rPr>
          <w:rFonts w:ascii="Times New Roman" w:hAnsi="Times New Roman"/>
          <w:sz w:val="24"/>
          <w:szCs w:val="24"/>
        </w:rPr>
        <w:t>reforms</w:t>
      </w:r>
      <w:r w:rsidR="003333A5">
        <w:rPr>
          <w:rFonts w:ascii="Times New Roman" w:hAnsi="Times New Roman"/>
          <w:sz w:val="24"/>
          <w:szCs w:val="24"/>
        </w:rPr>
        <w:t xml:space="preserve"> (ii) improvement of infrastructure (iii) </w:t>
      </w:r>
      <w:r w:rsidR="00C97490" w:rsidRPr="003333A5">
        <w:rPr>
          <w:rFonts w:ascii="Times New Roman" w:hAnsi="Times New Roman"/>
          <w:sz w:val="24"/>
          <w:szCs w:val="24"/>
        </w:rPr>
        <w:t>Trade promotion and FDI attraction</w:t>
      </w:r>
      <w:r w:rsidR="003333A5">
        <w:rPr>
          <w:rFonts w:ascii="Times New Roman" w:hAnsi="Times New Roman"/>
          <w:sz w:val="24"/>
          <w:szCs w:val="24"/>
        </w:rPr>
        <w:t xml:space="preserve"> (iv) </w:t>
      </w:r>
      <w:r w:rsidR="00C97490" w:rsidRPr="003333A5">
        <w:rPr>
          <w:rFonts w:ascii="Times New Roman" w:hAnsi="Times New Roman"/>
          <w:sz w:val="24"/>
          <w:szCs w:val="24"/>
        </w:rPr>
        <w:t xml:space="preserve">Research partnerships </w:t>
      </w:r>
      <w:r w:rsidR="003333A5">
        <w:rPr>
          <w:rFonts w:ascii="Times New Roman" w:hAnsi="Times New Roman"/>
          <w:sz w:val="24"/>
          <w:szCs w:val="24"/>
        </w:rPr>
        <w:t xml:space="preserve">and skills partnerships (v) </w:t>
      </w:r>
      <w:r w:rsidR="00C97490" w:rsidRPr="003333A5">
        <w:rPr>
          <w:rFonts w:ascii="Times New Roman" w:hAnsi="Times New Roman"/>
          <w:sz w:val="24"/>
          <w:szCs w:val="24"/>
        </w:rPr>
        <w:t>Development and certification of technical standards</w:t>
      </w:r>
      <w:r w:rsidR="003333A5">
        <w:rPr>
          <w:rFonts w:ascii="Times New Roman" w:hAnsi="Times New Roman"/>
          <w:sz w:val="24"/>
          <w:szCs w:val="24"/>
        </w:rPr>
        <w:t xml:space="preserve"> (v) supply-chain development (</w:t>
      </w:r>
      <w:r w:rsidR="00C97490" w:rsidRPr="003333A5">
        <w:rPr>
          <w:rFonts w:ascii="Times New Roman" w:hAnsi="Times New Roman"/>
          <w:sz w:val="24"/>
          <w:szCs w:val="24"/>
        </w:rPr>
        <w:t>bundled production, joint logistics, joint purchasing, etc</w:t>
      </w:r>
      <w:r w:rsidR="003333A5">
        <w:rPr>
          <w:rFonts w:ascii="Times New Roman" w:hAnsi="Times New Roman"/>
          <w:sz w:val="24"/>
          <w:szCs w:val="24"/>
        </w:rPr>
        <w:t>).</w:t>
      </w:r>
    </w:p>
    <w:p w:rsidR="00C97490" w:rsidRDefault="00C97490" w:rsidP="00C97490">
      <w:pPr>
        <w:spacing w:before="0" w:after="0" w:line="240" w:lineRule="auto"/>
        <w:rPr>
          <w:rFonts w:ascii="Times New Roman" w:hAnsi="Times New Roman"/>
          <w:sz w:val="24"/>
          <w:szCs w:val="24"/>
        </w:rPr>
      </w:pPr>
    </w:p>
    <w:p w:rsidR="003333A5" w:rsidRDefault="003333A5" w:rsidP="00C97490">
      <w:pPr>
        <w:spacing w:before="0" w:after="0" w:line="240" w:lineRule="auto"/>
        <w:rPr>
          <w:rFonts w:ascii="Times New Roman" w:hAnsi="Times New Roman"/>
          <w:sz w:val="24"/>
          <w:szCs w:val="24"/>
        </w:rPr>
      </w:pPr>
    </w:p>
    <w:p w:rsidR="003333A5" w:rsidRPr="007F17C8" w:rsidRDefault="003333A5" w:rsidP="00C97490">
      <w:pPr>
        <w:spacing w:before="0" w:after="0" w:line="240" w:lineRule="auto"/>
        <w:rPr>
          <w:rFonts w:ascii="Times New Roman" w:hAnsi="Times New Roman"/>
          <w:b/>
          <w:sz w:val="24"/>
          <w:szCs w:val="24"/>
        </w:rPr>
      </w:pPr>
      <w:r w:rsidRPr="007F17C8">
        <w:rPr>
          <w:rFonts w:ascii="Times New Roman" w:hAnsi="Times New Roman"/>
          <w:b/>
          <w:sz w:val="24"/>
          <w:szCs w:val="24"/>
        </w:rPr>
        <w:t>b. Proposed Approach for Kenya</w:t>
      </w:r>
    </w:p>
    <w:p w:rsidR="003333A5" w:rsidRDefault="003333A5" w:rsidP="00C97490">
      <w:pPr>
        <w:spacing w:before="0" w:after="0" w:line="240" w:lineRule="auto"/>
        <w:rPr>
          <w:rFonts w:ascii="Times New Roman" w:hAnsi="Times New Roman"/>
          <w:sz w:val="24"/>
          <w:szCs w:val="24"/>
        </w:rPr>
      </w:pPr>
    </w:p>
    <w:p w:rsidR="006334D9" w:rsidRDefault="006334D9" w:rsidP="003333A5">
      <w:pPr>
        <w:spacing w:before="0" w:after="0" w:line="240" w:lineRule="auto"/>
        <w:jc w:val="both"/>
        <w:rPr>
          <w:rFonts w:ascii="Times New Roman" w:hAnsi="Times New Roman"/>
          <w:sz w:val="24"/>
          <w:szCs w:val="24"/>
        </w:rPr>
      </w:pPr>
      <w:r>
        <w:rPr>
          <w:rFonts w:ascii="Times New Roman" w:hAnsi="Times New Roman"/>
          <w:sz w:val="24"/>
          <w:szCs w:val="24"/>
        </w:rPr>
        <w:t xml:space="preserve">In </w:t>
      </w:r>
      <w:r w:rsidR="005459B2">
        <w:rPr>
          <w:rFonts w:ascii="Times New Roman" w:hAnsi="Times New Roman"/>
          <w:sz w:val="24"/>
          <w:szCs w:val="24"/>
        </w:rPr>
        <w:t xml:space="preserve">order to ensure that the </w:t>
      </w:r>
      <w:r>
        <w:rPr>
          <w:rFonts w:ascii="Times New Roman" w:hAnsi="Times New Roman"/>
          <w:sz w:val="24"/>
          <w:szCs w:val="24"/>
        </w:rPr>
        <w:t xml:space="preserve">Competitiveness </w:t>
      </w:r>
      <w:r w:rsidR="005459B2">
        <w:rPr>
          <w:rFonts w:ascii="Times New Roman" w:hAnsi="Times New Roman"/>
          <w:sz w:val="24"/>
          <w:szCs w:val="24"/>
        </w:rPr>
        <w:t xml:space="preserve">Partnerships </w:t>
      </w:r>
      <w:r w:rsidR="007A7DA9">
        <w:rPr>
          <w:rFonts w:ascii="Times New Roman" w:hAnsi="Times New Roman"/>
          <w:sz w:val="24"/>
          <w:szCs w:val="24"/>
        </w:rPr>
        <w:t>Initiative</w:t>
      </w:r>
      <w:r>
        <w:rPr>
          <w:rFonts w:ascii="Times New Roman" w:hAnsi="Times New Roman"/>
          <w:sz w:val="24"/>
          <w:szCs w:val="24"/>
        </w:rPr>
        <w:t xml:space="preserve"> can be implemented effectively and efficiently it is important that both the roles and responsibilities of the various parties and the various phases are clearly defined.    </w:t>
      </w:r>
    </w:p>
    <w:p w:rsidR="006334D9" w:rsidRDefault="006334D9" w:rsidP="003333A5">
      <w:pPr>
        <w:spacing w:before="0" w:after="0" w:line="240" w:lineRule="auto"/>
        <w:jc w:val="both"/>
        <w:rPr>
          <w:rFonts w:ascii="Times New Roman" w:hAnsi="Times New Roman"/>
          <w:sz w:val="24"/>
          <w:szCs w:val="24"/>
        </w:rPr>
      </w:pPr>
    </w:p>
    <w:p w:rsidR="006334D9" w:rsidRDefault="00B47A28" w:rsidP="003333A5">
      <w:pPr>
        <w:spacing w:before="0" w:after="0" w:line="240" w:lineRule="auto"/>
        <w:jc w:val="both"/>
        <w:rPr>
          <w:rFonts w:ascii="Times New Roman" w:hAnsi="Times New Roman"/>
          <w:sz w:val="24"/>
          <w:szCs w:val="24"/>
        </w:rPr>
      </w:pPr>
      <w:r>
        <w:rPr>
          <w:rFonts w:ascii="Times New Roman" w:hAnsi="Times New Roman"/>
          <w:sz w:val="24"/>
          <w:szCs w:val="24"/>
        </w:rPr>
        <w:t xml:space="preserve">The approach </w:t>
      </w:r>
      <w:r w:rsidR="00DF2ABB">
        <w:rPr>
          <w:rFonts w:ascii="Times New Roman" w:hAnsi="Times New Roman"/>
          <w:sz w:val="24"/>
          <w:szCs w:val="24"/>
        </w:rPr>
        <w:t>will be driven by NESC, OPM</w:t>
      </w:r>
      <w:r>
        <w:rPr>
          <w:rFonts w:ascii="Times New Roman" w:hAnsi="Times New Roman"/>
          <w:sz w:val="24"/>
          <w:szCs w:val="24"/>
        </w:rPr>
        <w:t xml:space="preserve">, and </w:t>
      </w:r>
      <w:r w:rsidR="00F00EE8">
        <w:rPr>
          <w:rFonts w:ascii="Times New Roman" w:hAnsi="Times New Roman"/>
          <w:sz w:val="24"/>
          <w:szCs w:val="24"/>
        </w:rPr>
        <w:t xml:space="preserve">Sector </w:t>
      </w:r>
      <w:r>
        <w:rPr>
          <w:rFonts w:ascii="Times New Roman" w:hAnsi="Times New Roman"/>
          <w:sz w:val="24"/>
          <w:szCs w:val="24"/>
        </w:rPr>
        <w:t>Working Groups (</w:t>
      </w:r>
      <w:r w:rsidR="00F00EE8">
        <w:rPr>
          <w:rFonts w:ascii="Times New Roman" w:hAnsi="Times New Roman"/>
          <w:sz w:val="24"/>
          <w:szCs w:val="24"/>
        </w:rPr>
        <w:t>S</w:t>
      </w:r>
      <w:r>
        <w:rPr>
          <w:rFonts w:ascii="Times New Roman" w:hAnsi="Times New Roman"/>
          <w:sz w:val="24"/>
          <w:szCs w:val="24"/>
        </w:rPr>
        <w:t xml:space="preserve">WGs). Their </w:t>
      </w:r>
      <w:r w:rsidR="006334D9">
        <w:rPr>
          <w:rFonts w:ascii="Times New Roman" w:hAnsi="Times New Roman"/>
          <w:sz w:val="24"/>
          <w:szCs w:val="24"/>
        </w:rPr>
        <w:t>proposed roles and responsibilities are as follows:</w:t>
      </w:r>
    </w:p>
    <w:p w:rsidR="006334D9" w:rsidRDefault="006334D9" w:rsidP="003333A5">
      <w:pPr>
        <w:spacing w:before="0" w:after="0" w:line="240" w:lineRule="auto"/>
        <w:jc w:val="both"/>
        <w:rPr>
          <w:rFonts w:ascii="Times New Roman" w:hAnsi="Times New Roman"/>
          <w:sz w:val="24"/>
          <w:szCs w:val="24"/>
        </w:rPr>
      </w:pPr>
    </w:p>
    <w:p w:rsidR="007D7202" w:rsidRDefault="00B47A28" w:rsidP="00B47A28">
      <w:pPr>
        <w:pStyle w:val="ListParagraph"/>
        <w:numPr>
          <w:ilvl w:val="0"/>
          <w:numId w:val="14"/>
        </w:numPr>
        <w:spacing w:before="0" w:after="0" w:line="240" w:lineRule="auto"/>
        <w:jc w:val="both"/>
        <w:rPr>
          <w:rFonts w:ascii="Times New Roman" w:hAnsi="Times New Roman"/>
          <w:sz w:val="24"/>
          <w:szCs w:val="24"/>
        </w:rPr>
      </w:pPr>
      <w:r w:rsidRPr="00B47A28">
        <w:rPr>
          <w:rFonts w:ascii="Times New Roman" w:hAnsi="Times New Roman"/>
          <w:sz w:val="24"/>
          <w:szCs w:val="24"/>
        </w:rPr>
        <w:t xml:space="preserve">NESC : </w:t>
      </w:r>
      <w:r>
        <w:rPr>
          <w:rFonts w:ascii="Times New Roman" w:hAnsi="Times New Roman"/>
          <w:sz w:val="24"/>
          <w:szCs w:val="24"/>
        </w:rPr>
        <w:t xml:space="preserve">will provide  high level guidance </w:t>
      </w:r>
      <w:r w:rsidR="007D7202">
        <w:rPr>
          <w:rFonts w:ascii="Times New Roman" w:hAnsi="Times New Roman"/>
          <w:sz w:val="24"/>
          <w:szCs w:val="24"/>
        </w:rPr>
        <w:t>and general advice to the Government on the initiative</w:t>
      </w:r>
    </w:p>
    <w:p w:rsidR="007D7202" w:rsidRDefault="007D7202" w:rsidP="007D7202">
      <w:pPr>
        <w:pStyle w:val="ListParagraph"/>
        <w:spacing w:before="0" w:after="0" w:line="240" w:lineRule="auto"/>
        <w:jc w:val="both"/>
        <w:rPr>
          <w:rFonts w:ascii="Times New Roman" w:hAnsi="Times New Roman"/>
          <w:sz w:val="24"/>
          <w:szCs w:val="24"/>
        </w:rPr>
      </w:pPr>
    </w:p>
    <w:p w:rsidR="00231EF6" w:rsidRDefault="00B47A28" w:rsidP="00DD5BD5">
      <w:pPr>
        <w:pStyle w:val="ListParagraph"/>
        <w:numPr>
          <w:ilvl w:val="0"/>
          <w:numId w:val="14"/>
        </w:numPr>
        <w:spacing w:before="0" w:after="0" w:line="240" w:lineRule="auto"/>
        <w:jc w:val="both"/>
        <w:rPr>
          <w:rFonts w:ascii="Times New Roman" w:hAnsi="Times New Roman"/>
          <w:sz w:val="24"/>
          <w:szCs w:val="24"/>
        </w:rPr>
      </w:pPr>
      <w:r w:rsidRPr="00B47A28">
        <w:rPr>
          <w:rFonts w:ascii="Times New Roman" w:hAnsi="Times New Roman"/>
          <w:sz w:val="24"/>
          <w:szCs w:val="24"/>
        </w:rPr>
        <w:t xml:space="preserve">PMRT: </w:t>
      </w:r>
      <w:r w:rsidR="007D7202" w:rsidRPr="007D7202">
        <w:rPr>
          <w:rFonts w:ascii="Times New Roman" w:hAnsi="Times New Roman"/>
          <w:sz w:val="24"/>
          <w:szCs w:val="24"/>
        </w:rPr>
        <w:t xml:space="preserve">The PMRT will be responsible for monitoring and tracking the progress of the initiative including uncovering bottlenecks and building consensus on contentious issues. </w:t>
      </w:r>
    </w:p>
    <w:p w:rsidR="00A03737" w:rsidRDefault="00A03737">
      <w:pPr>
        <w:pStyle w:val="ListParagraph"/>
        <w:rPr>
          <w:rFonts w:ascii="Times New Roman" w:hAnsi="Times New Roman"/>
          <w:sz w:val="24"/>
          <w:szCs w:val="24"/>
        </w:rPr>
      </w:pPr>
    </w:p>
    <w:p w:rsidR="00D46581" w:rsidRDefault="007D7202" w:rsidP="00DF2ABB">
      <w:pPr>
        <w:pStyle w:val="ListParagraph"/>
        <w:numPr>
          <w:ilvl w:val="0"/>
          <w:numId w:val="14"/>
        </w:numPr>
        <w:jc w:val="both"/>
        <w:rPr>
          <w:rFonts w:ascii="Times New Roman" w:hAnsi="Times New Roman"/>
          <w:sz w:val="24"/>
          <w:szCs w:val="24"/>
        </w:rPr>
      </w:pPr>
      <w:r>
        <w:rPr>
          <w:rFonts w:ascii="Times New Roman" w:hAnsi="Times New Roman"/>
          <w:sz w:val="24"/>
          <w:szCs w:val="24"/>
        </w:rPr>
        <w:t>OPM: The OPM will have three key roles in the initiative. Firstly it wil</w:t>
      </w:r>
      <w:r w:rsidR="00DF2ABB">
        <w:rPr>
          <w:rFonts w:ascii="Times New Roman" w:hAnsi="Times New Roman"/>
          <w:sz w:val="24"/>
          <w:szCs w:val="24"/>
        </w:rPr>
        <w:t>l</w:t>
      </w:r>
      <w:r w:rsidRPr="007D7202">
        <w:rPr>
          <w:rFonts w:ascii="Times New Roman" w:hAnsi="Times New Roman"/>
          <w:sz w:val="24"/>
          <w:szCs w:val="24"/>
        </w:rPr>
        <w:t xml:space="preserve"> provide leadership on this initiative at a macro and strategy level to ensure proper coordination across Government. </w:t>
      </w:r>
      <w:r>
        <w:rPr>
          <w:rFonts w:ascii="Times New Roman" w:hAnsi="Times New Roman"/>
          <w:sz w:val="24"/>
          <w:szCs w:val="24"/>
        </w:rPr>
        <w:t xml:space="preserve">Secondly the Vision 2030 secretariat will provide technical inputs to the initiative. And finally OPM will provide a secretariat for the initiative. This secretariat will coordinate the process and will </w:t>
      </w:r>
      <w:r w:rsidR="004A0BD5" w:rsidRPr="004A0BD5">
        <w:rPr>
          <w:rFonts w:ascii="Times New Roman" w:hAnsi="Times New Roman"/>
          <w:sz w:val="24"/>
          <w:szCs w:val="24"/>
        </w:rPr>
        <w:t xml:space="preserve">be the main point of the contact for the </w:t>
      </w:r>
      <w:r>
        <w:rPr>
          <w:rFonts w:ascii="Times New Roman" w:hAnsi="Times New Roman"/>
          <w:sz w:val="24"/>
          <w:szCs w:val="24"/>
        </w:rPr>
        <w:t xml:space="preserve">Sector Working Groups, the </w:t>
      </w:r>
      <w:r w:rsidR="004A0BD5" w:rsidRPr="004A0BD5">
        <w:rPr>
          <w:rFonts w:ascii="Times New Roman" w:hAnsi="Times New Roman"/>
          <w:sz w:val="24"/>
          <w:szCs w:val="24"/>
        </w:rPr>
        <w:t xml:space="preserve">World Bank Group, other development partners and possible technical assistance providers. </w:t>
      </w:r>
    </w:p>
    <w:p w:rsidR="00B47A28" w:rsidRPr="00B47A28" w:rsidRDefault="00B47A28" w:rsidP="00B47A28">
      <w:pPr>
        <w:pStyle w:val="ListParagraph"/>
        <w:rPr>
          <w:rFonts w:ascii="Times New Roman" w:hAnsi="Times New Roman"/>
          <w:sz w:val="24"/>
          <w:szCs w:val="24"/>
        </w:rPr>
      </w:pPr>
    </w:p>
    <w:p w:rsidR="00B47A28" w:rsidRDefault="00F00EE8" w:rsidP="00DD5BD5">
      <w:pPr>
        <w:pStyle w:val="ListParagraph"/>
        <w:numPr>
          <w:ilvl w:val="0"/>
          <w:numId w:val="14"/>
        </w:numPr>
        <w:spacing w:before="0" w:after="0" w:line="240" w:lineRule="auto"/>
        <w:jc w:val="both"/>
        <w:rPr>
          <w:rFonts w:ascii="Times New Roman" w:hAnsi="Times New Roman"/>
          <w:sz w:val="24"/>
          <w:szCs w:val="24"/>
        </w:rPr>
      </w:pPr>
      <w:r>
        <w:rPr>
          <w:rFonts w:ascii="Times New Roman" w:hAnsi="Times New Roman"/>
          <w:sz w:val="24"/>
          <w:szCs w:val="24"/>
        </w:rPr>
        <w:t>S</w:t>
      </w:r>
      <w:r w:rsidR="00B47A28">
        <w:rPr>
          <w:rFonts w:ascii="Times New Roman" w:hAnsi="Times New Roman"/>
          <w:sz w:val="24"/>
          <w:szCs w:val="24"/>
        </w:rPr>
        <w:t xml:space="preserve">WGs: A </w:t>
      </w:r>
      <w:r>
        <w:rPr>
          <w:rFonts w:ascii="Times New Roman" w:hAnsi="Times New Roman"/>
          <w:sz w:val="24"/>
          <w:szCs w:val="24"/>
        </w:rPr>
        <w:t xml:space="preserve">Sector </w:t>
      </w:r>
      <w:r w:rsidR="00B47A28">
        <w:rPr>
          <w:rFonts w:ascii="Times New Roman" w:hAnsi="Times New Roman"/>
          <w:sz w:val="24"/>
          <w:szCs w:val="24"/>
        </w:rPr>
        <w:t>Working Group will be established for each sector</w:t>
      </w:r>
      <w:r w:rsidR="007D7202">
        <w:rPr>
          <w:rFonts w:ascii="Times New Roman" w:hAnsi="Times New Roman"/>
          <w:sz w:val="24"/>
          <w:szCs w:val="24"/>
        </w:rPr>
        <w:t xml:space="preserve"> (initially Tourism and ICT)</w:t>
      </w:r>
      <w:r w:rsidR="00B47A28">
        <w:rPr>
          <w:rFonts w:ascii="Times New Roman" w:hAnsi="Times New Roman"/>
          <w:sz w:val="24"/>
          <w:szCs w:val="24"/>
        </w:rPr>
        <w:t xml:space="preserve">. The group will comprise of representatives of the specific industry sector </w:t>
      </w:r>
      <w:r w:rsidR="005E357D">
        <w:rPr>
          <w:rFonts w:ascii="Times New Roman" w:hAnsi="Times New Roman"/>
          <w:sz w:val="24"/>
          <w:szCs w:val="24"/>
        </w:rPr>
        <w:t xml:space="preserve">including </w:t>
      </w:r>
      <w:r w:rsidR="00B47A28">
        <w:rPr>
          <w:rFonts w:ascii="Times New Roman" w:hAnsi="Times New Roman"/>
          <w:sz w:val="24"/>
          <w:szCs w:val="24"/>
        </w:rPr>
        <w:t>market creators</w:t>
      </w:r>
      <w:r w:rsidR="005E357D">
        <w:rPr>
          <w:rFonts w:ascii="Times New Roman" w:hAnsi="Times New Roman"/>
          <w:sz w:val="24"/>
          <w:szCs w:val="24"/>
        </w:rPr>
        <w:t>,</w:t>
      </w:r>
      <w:r>
        <w:rPr>
          <w:rFonts w:ascii="Times New Roman" w:hAnsi="Times New Roman"/>
          <w:sz w:val="24"/>
          <w:szCs w:val="24"/>
        </w:rPr>
        <w:t xml:space="preserve"> </w:t>
      </w:r>
      <w:r w:rsidR="00B47A28">
        <w:rPr>
          <w:rFonts w:ascii="Times New Roman" w:hAnsi="Times New Roman"/>
          <w:sz w:val="24"/>
          <w:szCs w:val="24"/>
        </w:rPr>
        <w:t>intermediators</w:t>
      </w:r>
      <w:r w:rsidR="005E357D">
        <w:rPr>
          <w:rFonts w:ascii="Times New Roman" w:hAnsi="Times New Roman"/>
          <w:sz w:val="24"/>
          <w:szCs w:val="24"/>
        </w:rPr>
        <w:t>,</w:t>
      </w:r>
      <w:r w:rsidR="00B47A28">
        <w:rPr>
          <w:rFonts w:ascii="Times New Roman" w:hAnsi="Times New Roman"/>
          <w:sz w:val="24"/>
          <w:szCs w:val="24"/>
        </w:rPr>
        <w:t xml:space="preserve"> KEPSA, relevant line ministries</w:t>
      </w:r>
      <w:r w:rsidR="005E357D">
        <w:rPr>
          <w:rFonts w:ascii="Times New Roman" w:hAnsi="Times New Roman"/>
          <w:sz w:val="24"/>
          <w:szCs w:val="24"/>
        </w:rPr>
        <w:t>, etc.</w:t>
      </w:r>
      <w:r w:rsidR="00B47A28">
        <w:rPr>
          <w:rFonts w:ascii="Times New Roman" w:hAnsi="Times New Roman"/>
          <w:sz w:val="24"/>
          <w:szCs w:val="24"/>
        </w:rPr>
        <w:t xml:space="preserve">   </w:t>
      </w:r>
    </w:p>
    <w:p w:rsidR="00B47A28" w:rsidRPr="00B47A28" w:rsidRDefault="00B47A28" w:rsidP="00B47A28">
      <w:pPr>
        <w:pStyle w:val="ListParagraph"/>
        <w:rPr>
          <w:rFonts w:ascii="Times New Roman" w:hAnsi="Times New Roman"/>
          <w:sz w:val="24"/>
          <w:szCs w:val="24"/>
        </w:rPr>
      </w:pPr>
    </w:p>
    <w:p w:rsidR="007F17C8" w:rsidRDefault="007F17C8" w:rsidP="007F17C8">
      <w:pPr>
        <w:spacing w:before="0" w:after="0" w:line="240" w:lineRule="auto"/>
        <w:jc w:val="both"/>
        <w:rPr>
          <w:rFonts w:ascii="Times New Roman" w:hAnsi="Times New Roman"/>
          <w:sz w:val="24"/>
          <w:szCs w:val="24"/>
        </w:rPr>
      </w:pPr>
      <w:r>
        <w:rPr>
          <w:rFonts w:ascii="Times New Roman" w:hAnsi="Times New Roman"/>
          <w:sz w:val="24"/>
          <w:szCs w:val="24"/>
        </w:rPr>
        <w:t xml:space="preserve">The CWGs </w:t>
      </w:r>
      <w:r w:rsidR="00F72D92" w:rsidRPr="007F17C8">
        <w:rPr>
          <w:rFonts w:ascii="Times New Roman" w:hAnsi="Times New Roman"/>
          <w:sz w:val="24"/>
          <w:szCs w:val="24"/>
        </w:rPr>
        <w:t xml:space="preserve">will report and account through the PMRT. This will </w:t>
      </w:r>
      <w:r w:rsidR="000A0446" w:rsidRPr="007F17C8">
        <w:rPr>
          <w:rFonts w:ascii="Times New Roman" w:hAnsi="Times New Roman"/>
          <w:sz w:val="24"/>
          <w:szCs w:val="24"/>
        </w:rPr>
        <w:t xml:space="preserve">ensure </w:t>
      </w:r>
      <w:r w:rsidR="00F72D92" w:rsidRPr="007F17C8">
        <w:rPr>
          <w:rFonts w:ascii="Times New Roman" w:hAnsi="Times New Roman"/>
          <w:sz w:val="24"/>
          <w:szCs w:val="24"/>
        </w:rPr>
        <w:t xml:space="preserve">proper consensus building on proposals, </w:t>
      </w:r>
      <w:r w:rsidR="000A0446" w:rsidRPr="007F17C8">
        <w:rPr>
          <w:rFonts w:ascii="Times New Roman" w:hAnsi="Times New Roman"/>
          <w:sz w:val="24"/>
          <w:szCs w:val="24"/>
        </w:rPr>
        <w:t xml:space="preserve">structured implementation within the desired timeframe and accountability. The PMRT </w:t>
      </w:r>
      <w:r>
        <w:rPr>
          <w:rFonts w:ascii="Times New Roman" w:hAnsi="Times New Roman"/>
          <w:sz w:val="24"/>
          <w:szCs w:val="24"/>
        </w:rPr>
        <w:t>will</w:t>
      </w:r>
      <w:r w:rsidR="000A0446" w:rsidRPr="007F17C8">
        <w:rPr>
          <w:rFonts w:ascii="Times New Roman" w:hAnsi="Times New Roman"/>
          <w:sz w:val="24"/>
          <w:szCs w:val="24"/>
        </w:rPr>
        <w:t xml:space="preserve"> </w:t>
      </w:r>
      <w:r>
        <w:rPr>
          <w:rFonts w:ascii="Times New Roman" w:hAnsi="Times New Roman"/>
          <w:sz w:val="24"/>
          <w:szCs w:val="24"/>
        </w:rPr>
        <w:t xml:space="preserve">track progress and </w:t>
      </w:r>
      <w:r w:rsidR="00771DE5" w:rsidRPr="007F17C8">
        <w:rPr>
          <w:rFonts w:ascii="Times New Roman" w:hAnsi="Times New Roman"/>
          <w:sz w:val="24"/>
          <w:szCs w:val="24"/>
        </w:rPr>
        <w:t>report</w:t>
      </w:r>
      <w:r w:rsidR="000A0446" w:rsidRPr="007F17C8">
        <w:rPr>
          <w:rFonts w:ascii="Times New Roman" w:hAnsi="Times New Roman"/>
          <w:sz w:val="24"/>
          <w:szCs w:val="24"/>
        </w:rPr>
        <w:t xml:space="preserve"> back </w:t>
      </w:r>
      <w:r>
        <w:rPr>
          <w:rFonts w:ascii="Times New Roman" w:hAnsi="Times New Roman"/>
          <w:sz w:val="24"/>
          <w:szCs w:val="24"/>
        </w:rPr>
        <w:t>to</w:t>
      </w:r>
      <w:r w:rsidR="000A0446" w:rsidRPr="007F17C8">
        <w:rPr>
          <w:rFonts w:ascii="Times New Roman" w:hAnsi="Times New Roman"/>
          <w:sz w:val="24"/>
          <w:szCs w:val="24"/>
        </w:rPr>
        <w:t xml:space="preserve"> NESC</w:t>
      </w:r>
      <w:r>
        <w:rPr>
          <w:rFonts w:ascii="Times New Roman" w:hAnsi="Times New Roman"/>
          <w:sz w:val="24"/>
          <w:szCs w:val="24"/>
        </w:rPr>
        <w:t>.</w:t>
      </w:r>
    </w:p>
    <w:p w:rsidR="00C97490" w:rsidRPr="00C97490" w:rsidRDefault="00C97490" w:rsidP="00C97490">
      <w:pPr>
        <w:spacing w:before="0" w:after="0" w:line="240" w:lineRule="auto"/>
        <w:jc w:val="both"/>
        <w:rPr>
          <w:rFonts w:ascii="Times New Roman" w:hAnsi="Times New Roman"/>
          <w:sz w:val="24"/>
          <w:szCs w:val="24"/>
        </w:rPr>
      </w:pPr>
    </w:p>
    <w:p w:rsidR="006C3FB3" w:rsidRDefault="006C3FB3" w:rsidP="00DD5BD5">
      <w:pPr>
        <w:spacing w:before="0" w:after="0" w:line="240" w:lineRule="auto"/>
        <w:jc w:val="both"/>
        <w:rPr>
          <w:rFonts w:ascii="Times New Roman" w:hAnsi="Times New Roman"/>
          <w:sz w:val="24"/>
          <w:szCs w:val="24"/>
        </w:rPr>
      </w:pPr>
      <w:r>
        <w:rPr>
          <w:rFonts w:ascii="Times New Roman" w:hAnsi="Times New Roman"/>
          <w:sz w:val="24"/>
          <w:szCs w:val="24"/>
        </w:rPr>
        <w:t xml:space="preserve">The </w:t>
      </w:r>
      <w:r w:rsidR="005459B2">
        <w:rPr>
          <w:rFonts w:ascii="Times New Roman" w:hAnsi="Times New Roman"/>
          <w:sz w:val="24"/>
          <w:szCs w:val="24"/>
        </w:rPr>
        <w:t>Competitive Partnerships</w:t>
      </w:r>
      <w:r w:rsidR="00E10D43">
        <w:rPr>
          <w:rFonts w:ascii="Times New Roman" w:hAnsi="Times New Roman"/>
          <w:sz w:val="24"/>
          <w:szCs w:val="24"/>
        </w:rPr>
        <w:t xml:space="preserve"> Initiative</w:t>
      </w:r>
      <w:r w:rsidR="00F00EE8">
        <w:rPr>
          <w:rFonts w:ascii="Times New Roman" w:hAnsi="Times New Roman"/>
          <w:sz w:val="24"/>
          <w:szCs w:val="24"/>
        </w:rPr>
        <w:t xml:space="preserve"> </w:t>
      </w:r>
      <w:r>
        <w:rPr>
          <w:rFonts w:ascii="Times New Roman" w:hAnsi="Times New Roman"/>
          <w:sz w:val="24"/>
          <w:szCs w:val="24"/>
        </w:rPr>
        <w:t>in Kenya will have the following four phases and proposed timetable:</w:t>
      </w:r>
    </w:p>
    <w:p w:rsidR="006C3FB3" w:rsidRDefault="006C3FB3" w:rsidP="00DD5BD5">
      <w:pPr>
        <w:spacing w:before="0" w:after="0" w:line="240" w:lineRule="auto"/>
        <w:jc w:val="both"/>
        <w:rPr>
          <w:rFonts w:ascii="Times New Roman" w:hAnsi="Times New Roman"/>
          <w:sz w:val="24"/>
          <w:szCs w:val="24"/>
        </w:rPr>
      </w:pPr>
    </w:p>
    <w:p w:rsidR="006C3FB3" w:rsidRDefault="006C3FB3" w:rsidP="006C3FB3">
      <w:pPr>
        <w:pStyle w:val="ListParagraph"/>
        <w:numPr>
          <w:ilvl w:val="0"/>
          <w:numId w:val="14"/>
        </w:numPr>
        <w:spacing w:before="0" w:after="0" w:line="240" w:lineRule="auto"/>
        <w:jc w:val="both"/>
        <w:rPr>
          <w:rFonts w:ascii="Times New Roman" w:hAnsi="Times New Roman"/>
          <w:sz w:val="24"/>
          <w:szCs w:val="24"/>
        </w:rPr>
      </w:pPr>
      <w:r>
        <w:rPr>
          <w:rFonts w:ascii="Times New Roman" w:hAnsi="Times New Roman"/>
          <w:sz w:val="24"/>
          <w:szCs w:val="24"/>
        </w:rPr>
        <w:t xml:space="preserve">Phase 1-Identification of sub sectors (Jan-Feb 2011): </w:t>
      </w:r>
      <w:r w:rsidRPr="006C3FB3">
        <w:rPr>
          <w:rFonts w:ascii="Times New Roman" w:hAnsi="Times New Roman"/>
          <w:sz w:val="24"/>
          <w:szCs w:val="24"/>
        </w:rPr>
        <w:t>Given that Vision 2030 has defined the key economic sectors it is unnecessary to do a rapid analysis of all sectors. Furthermore given that the PMRT has already been engaging actively with the Tourism and ICT sectors it is proposed that t</w:t>
      </w:r>
      <w:r>
        <w:rPr>
          <w:rFonts w:ascii="Times New Roman" w:hAnsi="Times New Roman"/>
          <w:sz w:val="24"/>
          <w:szCs w:val="24"/>
        </w:rPr>
        <w:t xml:space="preserve">hese two sectors be the </w:t>
      </w:r>
      <w:r w:rsidR="005E357D">
        <w:rPr>
          <w:rFonts w:ascii="Times New Roman" w:hAnsi="Times New Roman"/>
          <w:sz w:val="24"/>
          <w:szCs w:val="24"/>
        </w:rPr>
        <w:t xml:space="preserve">first </w:t>
      </w:r>
      <w:r>
        <w:rPr>
          <w:rFonts w:ascii="Times New Roman" w:hAnsi="Times New Roman"/>
          <w:sz w:val="24"/>
          <w:szCs w:val="24"/>
        </w:rPr>
        <w:t xml:space="preserve">pilot sectors to launch the process. </w:t>
      </w:r>
      <w:r w:rsidR="005E357D">
        <w:rPr>
          <w:rFonts w:ascii="Times New Roman" w:hAnsi="Times New Roman"/>
          <w:sz w:val="24"/>
          <w:szCs w:val="24"/>
        </w:rPr>
        <w:t>Other sectors could follow in due course</w:t>
      </w:r>
      <w:r w:rsidR="00AE1DCE">
        <w:rPr>
          <w:rFonts w:ascii="Times New Roman" w:hAnsi="Times New Roman"/>
          <w:sz w:val="24"/>
          <w:szCs w:val="24"/>
        </w:rPr>
        <w:t xml:space="preserve"> based on experience and lessons lear</w:t>
      </w:r>
      <w:r w:rsidR="00F00EE8">
        <w:rPr>
          <w:rFonts w:ascii="Times New Roman" w:hAnsi="Times New Roman"/>
          <w:sz w:val="24"/>
          <w:szCs w:val="24"/>
        </w:rPr>
        <w:t>n</w:t>
      </w:r>
      <w:r w:rsidR="00AE1DCE">
        <w:rPr>
          <w:rFonts w:ascii="Times New Roman" w:hAnsi="Times New Roman"/>
          <w:sz w:val="24"/>
          <w:szCs w:val="24"/>
        </w:rPr>
        <w:t>ed with the first two</w:t>
      </w:r>
      <w:r w:rsidR="00F00EE8">
        <w:rPr>
          <w:rFonts w:ascii="Times New Roman" w:hAnsi="Times New Roman"/>
          <w:sz w:val="24"/>
          <w:szCs w:val="24"/>
        </w:rPr>
        <w:t xml:space="preserve"> pilots</w:t>
      </w:r>
      <w:r w:rsidR="005E357D">
        <w:rPr>
          <w:rFonts w:ascii="Times New Roman" w:hAnsi="Times New Roman"/>
          <w:sz w:val="24"/>
          <w:szCs w:val="24"/>
        </w:rPr>
        <w:t xml:space="preserve">. </w:t>
      </w:r>
      <w:r>
        <w:rPr>
          <w:rFonts w:ascii="Times New Roman" w:hAnsi="Times New Roman"/>
          <w:sz w:val="24"/>
          <w:szCs w:val="24"/>
        </w:rPr>
        <w:t xml:space="preserve">This phase therefore will focus on identifying the specific sub sectors </w:t>
      </w:r>
      <w:r w:rsidR="005E357D">
        <w:rPr>
          <w:rFonts w:ascii="Times New Roman" w:hAnsi="Times New Roman"/>
          <w:sz w:val="24"/>
          <w:szCs w:val="24"/>
        </w:rPr>
        <w:t xml:space="preserve">within </w:t>
      </w:r>
      <w:r>
        <w:rPr>
          <w:rFonts w:ascii="Times New Roman" w:hAnsi="Times New Roman"/>
          <w:sz w:val="24"/>
          <w:szCs w:val="24"/>
        </w:rPr>
        <w:t xml:space="preserve">Tourism and ICT that would benefit most from the </w:t>
      </w:r>
      <w:r w:rsidR="00F00EE8">
        <w:rPr>
          <w:rFonts w:ascii="Times New Roman" w:hAnsi="Times New Roman"/>
          <w:sz w:val="24"/>
          <w:szCs w:val="24"/>
        </w:rPr>
        <w:t>sector competitiveness approach</w:t>
      </w:r>
      <w:r>
        <w:rPr>
          <w:rFonts w:ascii="Times New Roman" w:hAnsi="Times New Roman"/>
          <w:sz w:val="24"/>
          <w:szCs w:val="24"/>
        </w:rPr>
        <w:t xml:space="preserve">. </w:t>
      </w:r>
    </w:p>
    <w:p w:rsidR="006C3FB3" w:rsidRDefault="006C3FB3" w:rsidP="006C3FB3">
      <w:pPr>
        <w:pStyle w:val="ListParagraph"/>
        <w:spacing w:before="0" w:after="0" w:line="240" w:lineRule="auto"/>
        <w:jc w:val="both"/>
        <w:rPr>
          <w:rFonts w:ascii="Times New Roman" w:hAnsi="Times New Roman"/>
          <w:sz w:val="24"/>
          <w:szCs w:val="24"/>
        </w:rPr>
      </w:pPr>
    </w:p>
    <w:p w:rsidR="00852112" w:rsidRDefault="00852112" w:rsidP="006C3FB3">
      <w:pPr>
        <w:pStyle w:val="ListParagraph"/>
        <w:numPr>
          <w:ilvl w:val="0"/>
          <w:numId w:val="14"/>
        </w:numPr>
        <w:spacing w:before="0" w:after="0" w:line="240" w:lineRule="auto"/>
        <w:jc w:val="both"/>
        <w:rPr>
          <w:rFonts w:ascii="Times New Roman" w:hAnsi="Times New Roman"/>
          <w:sz w:val="24"/>
          <w:szCs w:val="24"/>
        </w:rPr>
      </w:pPr>
      <w:r>
        <w:rPr>
          <w:rFonts w:ascii="Times New Roman" w:hAnsi="Times New Roman"/>
          <w:sz w:val="24"/>
          <w:szCs w:val="24"/>
        </w:rPr>
        <w:t xml:space="preserve">Phase </w:t>
      </w:r>
      <w:r w:rsidR="006C3FB3">
        <w:rPr>
          <w:rFonts w:ascii="Times New Roman" w:hAnsi="Times New Roman"/>
          <w:sz w:val="24"/>
          <w:szCs w:val="24"/>
        </w:rPr>
        <w:t>2: Sub Sector Analysis (Feb</w:t>
      </w:r>
      <w:r w:rsidR="00F00EE8">
        <w:rPr>
          <w:rFonts w:ascii="Times New Roman" w:hAnsi="Times New Roman"/>
          <w:sz w:val="24"/>
          <w:szCs w:val="24"/>
        </w:rPr>
        <w:t>ruary</w:t>
      </w:r>
      <w:r w:rsidR="006C3FB3">
        <w:rPr>
          <w:rFonts w:ascii="Times New Roman" w:hAnsi="Times New Roman"/>
          <w:sz w:val="24"/>
          <w:szCs w:val="24"/>
        </w:rPr>
        <w:t xml:space="preserve"> –</w:t>
      </w:r>
      <w:r w:rsidR="007D7202">
        <w:rPr>
          <w:rFonts w:ascii="Times New Roman" w:hAnsi="Times New Roman"/>
          <w:sz w:val="24"/>
          <w:szCs w:val="24"/>
        </w:rPr>
        <w:t>March</w:t>
      </w:r>
      <w:r w:rsidR="00F00EE8">
        <w:rPr>
          <w:rFonts w:ascii="Times New Roman" w:hAnsi="Times New Roman"/>
          <w:sz w:val="24"/>
          <w:szCs w:val="24"/>
        </w:rPr>
        <w:t xml:space="preserve"> </w:t>
      </w:r>
      <w:r w:rsidR="006C3FB3">
        <w:rPr>
          <w:rFonts w:ascii="Times New Roman" w:hAnsi="Times New Roman"/>
          <w:sz w:val="24"/>
          <w:szCs w:val="24"/>
        </w:rPr>
        <w:t xml:space="preserve">2011): The </w:t>
      </w:r>
      <w:r w:rsidR="00F00EE8">
        <w:rPr>
          <w:rFonts w:ascii="Times New Roman" w:hAnsi="Times New Roman"/>
          <w:sz w:val="24"/>
          <w:szCs w:val="24"/>
        </w:rPr>
        <w:t>S</w:t>
      </w:r>
      <w:r w:rsidR="006C3FB3">
        <w:rPr>
          <w:rFonts w:ascii="Times New Roman" w:hAnsi="Times New Roman"/>
          <w:sz w:val="24"/>
          <w:szCs w:val="24"/>
        </w:rPr>
        <w:t xml:space="preserve">WGs for </w:t>
      </w:r>
      <w:r w:rsidR="006C3FB3">
        <w:rPr>
          <w:rFonts w:ascii="Times New Roman" w:hAnsi="Times New Roman"/>
          <w:sz w:val="24"/>
          <w:szCs w:val="24"/>
        </w:rPr>
        <w:br/>
        <w:t xml:space="preserve">Tourism and ICT working together with </w:t>
      </w:r>
      <w:r w:rsidR="007D7202">
        <w:rPr>
          <w:rFonts w:ascii="Times New Roman" w:hAnsi="Times New Roman"/>
          <w:sz w:val="24"/>
          <w:szCs w:val="24"/>
        </w:rPr>
        <w:t xml:space="preserve">OPM </w:t>
      </w:r>
      <w:r w:rsidR="006C3FB3">
        <w:rPr>
          <w:rFonts w:ascii="Times New Roman" w:hAnsi="Times New Roman"/>
          <w:sz w:val="24"/>
          <w:szCs w:val="24"/>
        </w:rPr>
        <w:t xml:space="preserve"> secretariat will </w:t>
      </w:r>
      <w:r w:rsidR="005E357D">
        <w:rPr>
          <w:rFonts w:ascii="Times New Roman" w:hAnsi="Times New Roman"/>
          <w:sz w:val="24"/>
          <w:szCs w:val="24"/>
        </w:rPr>
        <w:t xml:space="preserve">review existing information and studies on the chosen sub-sector, further </w:t>
      </w:r>
      <w:r>
        <w:rPr>
          <w:rFonts w:ascii="Times New Roman" w:hAnsi="Times New Roman"/>
          <w:sz w:val="24"/>
          <w:szCs w:val="24"/>
        </w:rPr>
        <w:t xml:space="preserve">analyze </w:t>
      </w:r>
      <w:r w:rsidR="005E357D">
        <w:rPr>
          <w:rFonts w:ascii="Times New Roman" w:hAnsi="Times New Roman"/>
          <w:sz w:val="24"/>
          <w:szCs w:val="24"/>
        </w:rPr>
        <w:t>any remaining gaps</w:t>
      </w:r>
      <w:r w:rsidR="00F00EE8">
        <w:rPr>
          <w:rFonts w:ascii="Times New Roman" w:hAnsi="Times New Roman"/>
          <w:sz w:val="24"/>
          <w:szCs w:val="24"/>
        </w:rPr>
        <w:t xml:space="preserve"> </w:t>
      </w:r>
      <w:r w:rsidR="005E357D">
        <w:rPr>
          <w:rFonts w:ascii="Times New Roman" w:hAnsi="Times New Roman"/>
          <w:sz w:val="24"/>
          <w:szCs w:val="24"/>
        </w:rPr>
        <w:t xml:space="preserve">and </w:t>
      </w:r>
      <w:r>
        <w:rPr>
          <w:rFonts w:ascii="Times New Roman" w:hAnsi="Times New Roman"/>
          <w:sz w:val="24"/>
          <w:szCs w:val="24"/>
        </w:rPr>
        <w:t xml:space="preserve">prepare a report. </w:t>
      </w:r>
    </w:p>
    <w:p w:rsidR="00852112" w:rsidRPr="00852112" w:rsidRDefault="00852112" w:rsidP="00852112">
      <w:pPr>
        <w:pStyle w:val="ListParagraph"/>
        <w:rPr>
          <w:rFonts w:ascii="Times New Roman" w:hAnsi="Times New Roman"/>
          <w:sz w:val="24"/>
          <w:szCs w:val="24"/>
        </w:rPr>
      </w:pPr>
    </w:p>
    <w:p w:rsidR="00852112" w:rsidRPr="00852112" w:rsidRDefault="00852112" w:rsidP="006C3FB3">
      <w:pPr>
        <w:pStyle w:val="ListParagraph"/>
        <w:numPr>
          <w:ilvl w:val="0"/>
          <w:numId w:val="14"/>
        </w:numPr>
        <w:spacing w:before="0" w:after="0" w:line="240" w:lineRule="auto"/>
        <w:jc w:val="both"/>
        <w:rPr>
          <w:rFonts w:ascii="Times New Roman" w:hAnsi="Times New Roman"/>
          <w:i/>
          <w:sz w:val="24"/>
          <w:szCs w:val="24"/>
        </w:rPr>
      </w:pPr>
      <w:r>
        <w:rPr>
          <w:rFonts w:ascii="Times New Roman" w:hAnsi="Times New Roman"/>
          <w:sz w:val="24"/>
          <w:szCs w:val="24"/>
        </w:rPr>
        <w:t>Phase 3:  Preparation of Action Plan (</w:t>
      </w:r>
      <w:r w:rsidR="00F00EE8">
        <w:rPr>
          <w:rFonts w:ascii="Times New Roman" w:hAnsi="Times New Roman"/>
          <w:sz w:val="24"/>
          <w:szCs w:val="24"/>
        </w:rPr>
        <w:t xml:space="preserve">April </w:t>
      </w:r>
      <w:r>
        <w:rPr>
          <w:rFonts w:ascii="Times New Roman" w:hAnsi="Times New Roman"/>
          <w:sz w:val="24"/>
          <w:szCs w:val="24"/>
        </w:rPr>
        <w:t xml:space="preserve">– </w:t>
      </w:r>
      <w:r w:rsidR="00F00EE8">
        <w:rPr>
          <w:rFonts w:ascii="Times New Roman" w:hAnsi="Times New Roman"/>
          <w:sz w:val="24"/>
          <w:szCs w:val="24"/>
        </w:rPr>
        <w:t xml:space="preserve">May </w:t>
      </w:r>
      <w:r>
        <w:rPr>
          <w:rFonts w:ascii="Times New Roman" w:hAnsi="Times New Roman"/>
          <w:sz w:val="24"/>
          <w:szCs w:val="24"/>
        </w:rPr>
        <w:t xml:space="preserve">2011): Each </w:t>
      </w:r>
      <w:r w:rsidR="00F00EE8">
        <w:rPr>
          <w:rFonts w:ascii="Times New Roman" w:hAnsi="Times New Roman"/>
          <w:sz w:val="24"/>
          <w:szCs w:val="24"/>
        </w:rPr>
        <w:t>S</w:t>
      </w:r>
      <w:r>
        <w:rPr>
          <w:rFonts w:ascii="Times New Roman" w:hAnsi="Times New Roman"/>
          <w:sz w:val="24"/>
          <w:szCs w:val="24"/>
        </w:rPr>
        <w:t xml:space="preserve">WG will present their analysis at a workshop in May. Following this the </w:t>
      </w:r>
      <w:r w:rsidR="00F00EE8">
        <w:rPr>
          <w:rFonts w:ascii="Times New Roman" w:hAnsi="Times New Roman"/>
          <w:sz w:val="24"/>
          <w:szCs w:val="24"/>
        </w:rPr>
        <w:t>S</w:t>
      </w:r>
      <w:r>
        <w:rPr>
          <w:rFonts w:ascii="Times New Roman" w:hAnsi="Times New Roman"/>
          <w:sz w:val="24"/>
          <w:szCs w:val="24"/>
        </w:rPr>
        <w:t xml:space="preserve">WG will prepare an action plan that will be presented to the PMRT and NESC </w:t>
      </w:r>
      <w:r w:rsidR="00F00EE8">
        <w:rPr>
          <w:rFonts w:ascii="Times New Roman" w:hAnsi="Times New Roman"/>
          <w:sz w:val="24"/>
          <w:szCs w:val="24"/>
        </w:rPr>
        <w:t xml:space="preserve">at the end of May </w:t>
      </w:r>
      <w:r>
        <w:rPr>
          <w:rFonts w:ascii="Times New Roman" w:hAnsi="Times New Roman"/>
          <w:sz w:val="24"/>
          <w:szCs w:val="24"/>
        </w:rPr>
        <w:t>for endorsement.</w:t>
      </w:r>
      <w:r>
        <w:rPr>
          <w:rFonts w:ascii="Times New Roman" w:hAnsi="Times New Roman"/>
          <w:b/>
          <w:i/>
          <w:szCs w:val="24"/>
        </w:rPr>
        <w:t xml:space="preserve"> </w:t>
      </w:r>
    </w:p>
    <w:p w:rsidR="00852112" w:rsidRPr="00852112" w:rsidRDefault="00852112" w:rsidP="00852112">
      <w:pPr>
        <w:pStyle w:val="ListParagraph"/>
        <w:rPr>
          <w:rFonts w:ascii="Times New Roman" w:hAnsi="Times New Roman"/>
          <w:i/>
          <w:sz w:val="24"/>
          <w:szCs w:val="24"/>
        </w:rPr>
      </w:pPr>
    </w:p>
    <w:p w:rsidR="00852112" w:rsidRDefault="00852112" w:rsidP="006C3FB3">
      <w:pPr>
        <w:pStyle w:val="ListParagraph"/>
        <w:numPr>
          <w:ilvl w:val="0"/>
          <w:numId w:val="14"/>
        </w:numPr>
        <w:spacing w:before="0" w:after="0" w:line="240" w:lineRule="auto"/>
        <w:jc w:val="both"/>
        <w:rPr>
          <w:rFonts w:ascii="Times New Roman" w:hAnsi="Times New Roman"/>
          <w:sz w:val="24"/>
          <w:szCs w:val="24"/>
        </w:rPr>
      </w:pPr>
      <w:r>
        <w:rPr>
          <w:rFonts w:ascii="Times New Roman" w:hAnsi="Times New Roman"/>
          <w:sz w:val="24"/>
          <w:szCs w:val="24"/>
        </w:rPr>
        <w:t>Phase 4: Implementation (</w:t>
      </w:r>
      <w:r w:rsidR="00F00EE8">
        <w:rPr>
          <w:rFonts w:ascii="Times New Roman" w:hAnsi="Times New Roman"/>
          <w:sz w:val="24"/>
          <w:szCs w:val="24"/>
        </w:rPr>
        <w:t xml:space="preserve">June </w:t>
      </w:r>
      <w:r>
        <w:rPr>
          <w:rFonts w:ascii="Times New Roman" w:hAnsi="Times New Roman"/>
          <w:sz w:val="24"/>
          <w:szCs w:val="24"/>
        </w:rPr>
        <w:t xml:space="preserve">2011- </w:t>
      </w:r>
      <w:r w:rsidR="00F00EE8">
        <w:rPr>
          <w:rFonts w:ascii="Times New Roman" w:hAnsi="Times New Roman"/>
          <w:sz w:val="24"/>
          <w:szCs w:val="24"/>
        </w:rPr>
        <w:t xml:space="preserve">May </w:t>
      </w:r>
      <w:r>
        <w:rPr>
          <w:rFonts w:ascii="Times New Roman" w:hAnsi="Times New Roman"/>
          <w:sz w:val="24"/>
          <w:szCs w:val="24"/>
        </w:rPr>
        <w:t>201</w:t>
      </w:r>
      <w:r w:rsidR="00F00EE8">
        <w:rPr>
          <w:rFonts w:ascii="Times New Roman" w:hAnsi="Times New Roman"/>
          <w:sz w:val="24"/>
          <w:szCs w:val="24"/>
        </w:rPr>
        <w:t>2</w:t>
      </w:r>
      <w:r>
        <w:rPr>
          <w:rFonts w:ascii="Times New Roman" w:hAnsi="Times New Roman"/>
          <w:sz w:val="24"/>
          <w:szCs w:val="24"/>
        </w:rPr>
        <w:t>): The relevant parties – both  public sector and private sector will begin implementing the agreed actions. Updates will be provided to PMRT and NESC on a quarterly basis.</w:t>
      </w:r>
    </w:p>
    <w:p w:rsidR="007D7202" w:rsidRPr="007D7202" w:rsidRDefault="007D7202" w:rsidP="007D7202">
      <w:pPr>
        <w:pStyle w:val="ListParagraph"/>
        <w:rPr>
          <w:rFonts w:ascii="Times New Roman" w:hAnsi="Times New Roman"/>
          <w:sz w:val="24"/>
          <w:szCs w:val="24"/>
        </w:rPr>
      </w:pPr>
    </w:p>
    <w:p w:rsidR="007D7202" w:rsidRDefault="007D7202" w:rsidP="007D7202">
      <w:pPr>
        <w:pStyle w:val="ListParagraph"/>
        <w:spacing w:before="0" w:after="0" w:line="240" w:lineRule="auto"/>
        <w:jc w:val="both"/>
        <w:rPr>
          <w:rFonts w:ascii="Times New Roman" w:hAnsi="Times New Roman"/>
          <w:sz w:val="24"/>
          <w:szCs w:val="24"/>
        </w:rPr>
      </w:pPr>
    </w:p>
    <w:p w:rsidR="00852112" w:rsidRDefault="00852112" w:rsidP="00852112">
      <w:pPr>
        <w:spacing w:before="0" w:after="0" w:line="240" w:lineRule="auto"/>
        <w:jc w:val="both"/>
        <w:rPr>
          <w:rFonts w:ascii="Times New Roman" w:hAnsi="Times New Roman"/>
          <w:sz w:val="24"/>
          <w:szCs w:val="24"/>
        </w:rPr>
      </w:pPr>
      <w:r>
        <w:rPr>
          <w:rFonts w:ascii="Times New Roman" w:hAnsi="Times New Roman"/>
          <w:sz w:val="24"/>
          <w:szCs w:val="24"/>
        </w:rPr>
        <w:t xml:space="preserve">This is the proposed process for launching the overall initiative and beginning work on two sectors. It is expected that the same process could be followed for another two sectors </w:t>
      </w:r>
      <w:r w:rsidR="00F00EE8">
        <w:rPr>
          <w:rFonts w:ascii="Times New Roman" w:hAnsi="Times New Roman"/>
          <w:sz w:val="24"/>
          <w:szCs w:val="24"/>
        </w:rPr>
        <w:t>in late 2011</w:t>
      </w:r>
      <w:r>
        <w:rPr>
          <w:rFonts w:ascii="Times New Roman" w:hAnsi="Times New Roman"/>
          <w:sz w:val="24"/>
          <w:szCs w:val="24"/>
        </w:rPr>
        <w:t>. The process will be modified as appropriate based on lessons learned from the pilot with Tourism and ICT.</w:t>
      </w:r>
    </w:p>
    <w:p w:rsidR="00852112" w:rsidRDefault="00852112" w:rsidP="00852112">
      <w:pPr>
        <w:spacing w:before="0" w:after="0" w:line="240" w:lineRule="auto"/>
        <w:jc w:val="both"/>
        <w:rPr>
          <w:rFonts w:ascii="Times New Roman" w:hAnsi="Times New Roman"/>
          <w:sz w:val="24"/>
          <w:szCs w:val="24"/>
        </w:rPr>
      </w:pPr>
    </w:p>
    <w:p w:rsidR="00852112" w:rsidRDefault="00852112" w:rsidP="00852112">
      <w:pPr>
        <w:spacing w:before="0" w:after="0" w:line="240" w:lineRule="auto"/>
        <w:jc w:val="both"/>
        <w:rPr>
          <w:rFonts w:ascii="Times New Roman" w:hAnsi="Times New Roman"/>
          <w:b/>
          <w:sz w:val="24"/>
          <w:szCs w:val="24"/>
        </w:rPr>
      </w:pPr>
      <w:r>
        <w:rPr>
          <w:rFonts w:ascii="Times New Roman" w:hAnsi="Times New Roman"/>
          <w:b/>
          <w:sz w:val="24"/>
          <w:szCs w:val="24"/>
        </w:rPr>
        <w:t>4.0 Next Steps</w:t>
      </w:r>
    </w:p>
    <w:p w:rsidR="00852112" w:rsidRDefault="00852112" w:rsidP="00852112">
      <w:pPr>
        <w:spacing w:before="0" w:after="0" w:line="240" w:lineRule="auto"/>
        <w:jc w:val="both"/>
        <w:rPr>
          <w:rFonts w:ascii="Times New Roman" w:hAnsi="Times New Roman"/>
          <w:b/>
          <w:sz w:val="24"/>
          <w:szCs w:val="24"/>
        </w:rPr>
      </w:pPr>
    </w:p>
    <w:p w:rsidR="00852112" w:rsidRDefault="00852112" w:rsidP="00852112">
      <w:pPr>
        <w:spacing w:before="0" w:after="0" w:line="240" w:lineRule="auto"/>
        <w:jc w:val="both"/>
        <w:rPr>
          <w:rFonts w:ascii="Times New Roman" w:hAnsi="Times New Roman"/>
          <w:sz w:val="24"/>
          <w:szCs w:val="24"/>
        </w:rPr>
      </w:pPr>
      <w:r>
        <w:rPr>
          <w:rFonts w:ascii="Times New Roman" w:hAnsi="Times New Roman"/>
          <w:sz w:val="24"/>
          <w:szCs w:val="24"/>
        </w:rPr>
        <w:t>In order to lau</w:t>
      </w:r>
      <w:r w:rsidR="005459B2">
        <w:rPr>
          <w:rFonts w:ascii="Times New Roman" w:hAnsi="Times New Roman"/>
          <w:sz w:val="24"/>
          <w:szCs w:val="24"/>
        </w:rPr>
        <w:t>nch the Competitiveness Partnerships Initiative</w:t>
      </w:r>
      <w:r>
        <w:rPr>
          <w:rFonts w:ascii="Times New Roman" w:hAnsi="Times New Roman"/>
          <w:sz w:val="24"/>
          <w:szCs w:val="24"/>
        </w:rPr>
        <w:t xml:space="preserve"> the following key steps are envisaged:</w:t>
      </w:r>
    </w:p>
    <w:p w:rsidR="00852112" w:rsidRDefault="00852112" w:rsidP="00852112">
      <w:pPr>
        <w:spacing w:before="0" w:after="0" w:line="240" w:lineRule="auto"/>
        <w:jc w:val="both"/>
        <w:rPr>
          <w:rFonts w:ascii="Times New Roman" w:hAnsi="Times New Roman"/>
          <w:sz w:val="24"/>
          <w:szCs w:val="24"/>
        </w:rPr>
      </w:pPr>
    </w:p>
    <w:p w:rsidR="00852112" w:rsidRDefault="00D04165" w:rsidP="00D04165">
      <w:pPr>
        <w:pStyle w:val="ListParagraph"/>
        <w:numPr>
          <w:ilvl w:val="0"/>
          <w:numId w:val="15"/>
        </w:numPr>
        <w:spacing w:before="0" w:after="0" w:line="240" w:lineRule="auto"/>
        <w:jc w:val="both"/>
        <w:rPr>
          <w:rFonts w:ascii="Times New Roman" w:hAnsi="Times New Roman"/>
          <w:sz w:val="24"/>
          <w:szCs w:val="24"/>
        </w:rPr>
      </w:pPr>
      <w:r>
        <w:rPr>
          <w:rFonts w:ascii="Times New Roman" w:hAnsi="Times New Roman"/>
          <w:sz w:val="24"/>
          <w:szCs w:val="24"/>
        </w:rPr>
        <w:t xml:space="preserve">Approval of </w:t>
      </w:r>
      <w:r w:rsidR="002A766B">
        <w:rPr>
          <w:rFonts w:ascii="Times New Roman" w:hAnsi="Times New Roman"/>
          <w:sz w:val="24"/>
          <w:szCs w:val="24"/>
        </w:rPr>
        <w:t>concept paper</w:t>
      </w:r>
    </w:p>
    <w:p w:rsidR="00D04165" w:rsidRDefault="00D04165" w:rsidP="00D04165">
      <w:pPr>
        <w:pStyle w:val="ListParagraph"/>
        <w:spacing w:before="0" w:after="0" w:line="240" w:lineRule="auto"/>
        <w:jc w:val="both"/>
        <w:rPr>
          <w:rFonts w:ascii="Times New Roman" w:hAnsi="Times New Roman"/>
          <w:sz w:val="24"/>
          <w:szCs w:val="24"/>
        </w:rPr>
      </w:pPr>
    </w:p>
    <w:p w:rsidR="00D04165" w:rsidRDefault="00D04165" w:rsidP="00D04165">
      <w:pPr>
        <w:pStyle w:val="ListParagraph"/>
        <w:numPr>
          <w:ilvl w:val="0"/>
          <w:numId w:val="15"/>
        </w:numPr>
        <w:spacing w:before="0" w:after="0" w:line="240" w:lineRule="auto"/>
        <w:jc w:val="both"/>
        <w:rPr>
          <w:rFonts w:ascii="Times New Roman" w:hAnsi="Times New Roman"/>
          <w:sz w:val="24"/>
          <w:szCs w:val="24"/>
        </w:rPr>
      </w:pPr>
      <w:r>
        <w:rPr>
          <w:rFonts w:ascii="Times New Roman" w:hAnsi="Times New Roman"/>
          <w:sz w:val="24"/>
          <w:szCs w:val="24"/>
        </w:rPr>
        <w:t xml:space="preserve">Workshop for stakeholder </w:t>
      </w:r>
      <w:r w:rsidR="005E357D">
        <w:rPr>
          <w:rFonts w:ascii="Times New Roman" w:hAnsi="Times New Roman"/>
          <w:sz w:val="24"/>
          <w:szCs w:val="24"/>
        </w:rPr>
        <w:t xml:space="preserve">consultation and </w:t>
      </w:r>
      <w:r>
        <w:rPr>
          <w:rFonts w:ascii="Times New Roman" w:hAnsi="Times New Roman"/>
          <w:sz w:val="24"/>
          <w:szCs w:val="24"/>
        </w:rPr>
        <w:t>discussion of the approach. It is proposed that this workshop be held over two days in the last week of January 2010.</w:t>
      </w:r>
    </w:p>
    <w:p w:rsidR="00D04165" w:rsidRPr="00D04165" w:rsidRDefault="00D04165" w:rsidP="00D04165">
      <w:pPr>
        <w:pStyle w:val="ListParagraph"/>
        <w:rPr>
          <w:rFonts w:ascii="Times New Roman" w:hAnsi="Times New Roman"/>
          <w:sz w:val="24"/>
          <w:szCs w:val="24"/>
        </w:rPr>
      </w:pPr>
    </w:p>
    <w:p w:rsidR="00D04165" w:rsidRPr="00D04165" w:rsidRDefault="00D04165" w:rsidP="00D04165">
      <w:pPr>
        <w:pStyle w:val="ListParagraph"/>
        <w:numPr>
          <w:ilvl w:val="0"/>
          <w:numId w:val="15"/>
        </w:numPr>
        <w:spacing w:before="0" w:after="0" w:line="240" w:lineRule="auto"/>
        <w:jc w:val="both"/>
        <w:rPr>
          <w:rFonts w:ascii="Times New Roman" w:hAnsi="Times New Roman"/>
          <w:sz w:val="24"/>
          <w:szCs w:val="24"/>
        </w:rPr>
      </w:pPr>
      <w:r>
        <w:rPr>
          <w:rFonts w:ascii="Times New Roman" w:hAnsi="Times New Roman"/>
          <w:sz w:val="24"/>
          <w:szCs w:val="24"/>
        </w:rPr>
        <w:t xml:space="preserve">Preparation </w:t>
      </w:r>
      <w:r w:rsidR="005E357D">
        <w:rPr>
          <w:rFonts w:ascii="Times New Roman" w:hAnsi="Times New Roman"/>
          <w:sz w:val="24"/>
          <w:szCs w:val="24"/>
        </w:rPr>
        <w:t>and submission</w:t>
      </w:r>
      <w:r>
        <w:rPr>
          <w:rFonts w:ascii="Times New Roman" w:hAnsi="Times New Roman"/>
          <w:sz w:val="24"/>
          <w:szCs w:val="24"/>
        </w:rPr>
        <w:t xml:space="preserve"> of </w:t>
      </w:r>
      <w:r w:rsidR="005E357D">
        <w:rPr>
          <w:rFonts w:ascii="Times New Roman" w:hAnsi="Times New Roman"/>
          <w:sz w:val="24"/>
          <w:szCs w:val="24"/>
        </w:rPr>
        <w:t xml:space="preserve">a </w:t>
      </w:r>
      <w:r>
        <w:rPr>
          <w:rFonts w:ascii="Times New Roman" w:hAnsi="Times New Roman"/>
          <w:sz w:val="24"/>
          <w:szCs w:val="24"/>
        </w:rPr>
        <w:t>cabinet memo</w:t>
      </w:r>
      <w:r w:rsidR="005E357D">
        <w:rPr>
          <w:rFonts w:ascii="Times New Roman" w:hAnsi="Times New Roman"/>
          <w:sz w:val="24"/>
          <w:szCs w:val="24"/>
        </w:rPr>
        <w:t>,</w:t>
      </w:r>
      <w:r>
        <w:rPr>
          <w:rFonts w:ascii="Times New Roman" w:hAnsi="Times New Roman"/>
          <w:sz w:val="24"/>
          <w:szCs w:val="24"/>
        </w:rPr>
        <w:t xml:space="preserve"> </w:t>
      </w:r>
      <w:r w:rsidR="005E357D">
        <w:rPr>
          <w:rFonts w:ascii="Times New Roman" w:hAnsi="Times New Roman"/>
          <w:sz w:val="24"/>
          <w:szCs w:val="24"/>
        </w:rPr>
        <w:t xml:space="preserve">based on workshop discussions and outcome, seeking cabinet endorsement for the </w:t>
      </w:r>
      <w:r w:rsidR="00F03B52">
        <w:rPr>
          <w:rFonts w:ascii="Times New Roman" w:hAnsi="Times New Roman"/>
          <w:sz w:val="24"/>
          <w:szCs w:val="24"/>
        </w:rPr>
        <w:t>initiative</w:t>
      </w:r>
      <w:r w:rsidR="005E357D">
        <w:rPr>
          <w:rFonts w:ascii="Times New Roman" w:hAnsi="Times New Roman"/>
          <w:sz w:val="24"/>
          <w:szCs w:val="24"/>
        </w:rPr>
        <w:t>.</w:t>
      </w:r>
    </w:p>
    <w:sectPr w:rsidR="00D04165" w:rsidRPr="00D04165" w:rsidSect="004B0B42">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7159" w:rsidRDefault="00787159" w:rsidP="00DA17DD">
      <w:pPr>
        <w:spacing w:before="0" w:after="0" w:line="240" w:lineRule="auto"/>
      </w:pPr>
      <w:r>
        <w:separator/>
      </w:r>
    </w:p>
  </w:endnote>
  <w:endnote w:type="continuationSeparator" w:id="1">
    <w:p w:rsidR="00787159" w:rsidRDefault="00787159" w:rsidP="00DA17DD">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7DD" w:rsidRDefault="00DA17DD">
    <w:pPr>
      <w:pStyle w:val="Footer"/>
      <w:jc w:val="right"/>
    </w:pPr>
    <w:r>
      <w:t xml:space="preserve">Page </w:t>
    </w:r>
    <w:r w:rsidR="00450342">
      <w:rPr>
        <w:b/>
        <w:sz w:val="24"/>
        <w:szCs w:val="24"/>
      </w:rPr>
      <w:fldChar w:fldCharType="begin"/>
    </w:r>
    <w:r>
      <w:rPr>
        <w:b/>
      </w:rPr>
      <w:instrText xml:space="preserve"> PAGE </w:instrText>
    </w:r>
    <w:r w:rsidR="00450342">
      <w:rPr>
        <w:b/>
        <w:sz w:val="24"/>
        <w:szCs w:val="24"/>
      </w:rPr>
      <w:fldChar w:fldCharType="separate"/>
    </w:r>
    <w:r w:rsidR="00ED1BE2">
      <w:rPr>
        <w:b/>
        <w:noProof/>
      </w:rPr>
      <w:t>1</w:t>
    </w:r>
    <w:r w:rsidR="00450342">
      <w:rPr>
        <w:b/>
        <w:sz w:val="24"/>
        <w:szCs w:val="24"/>
      </w:rPr>
      <w:fldChar w:fldCharType="end"/>
    </w:r>
    <w:r>
      <w:t xml:space="preserve"> of </w:t>
    </w:r>
    <w:r w:rsidR="00450342">
      <w:rPr>
        <w:b/>
        <w:sz w:val="24"/>
        <w:szCs w:val="24"/>
      </w:rPr>
      <w:fldChar w:fldCharType="begin"/>
    </w:r>
    <w:r>
      <w:rPr>
        <w:b/>
      </w:rPr>
      <w:instrText xml:space="preserve"> NUMPAGES  </w:instrText>
    </w:r>
    <w:r w:rsidR="00450342">
      <w:rPr>
        <w:b/>
        <w:sz w:val="24"/>
        <w:szCs w:val="24"/>
      </w:rPr>
      <w:fldChar w:fldCharType="separate"/>
    </w:r>
    <w:r w:rsidR="00ED1BE2">
      <w:rPr>
        <w:b/>
        <w:noProof/>
      </w:rPr>
      <w:t>7</w:t>
    </w:r>
    <w:r w:rsidR="00450342">
      <w:rPr>
        <w:b/>
        <w:sz w:val="24"/>
        <w:szCs w:val="24"/>
      </w:rPr>
      <w:fldChar w:fldCharType="end"/>
    </w:r>
  </w:p>
  <w:p w:rsidR="00DA17DD" w:rsidRDefault="00DA17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7159" w:rsidRDefault="00787159" w:rsidP="00DA17DD">
      <w:pPr>
        <w:spacing w:before="0" w:after="0" w:line="240" w:lineRule="auto"/>
      </w:pPr>
      <w:r>
        <w:separator/>
      </w:r>
    </w:p>
  </w:footnote>
  <w:footnote w:type="continuationSeparator" w:id="1">
    <w:p w:rsidR="00787159" w:rsidRDefault="00787159" w:rsidP="00DA17DD">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C5AFF"/>
    <w:multiLevelType w:val="hybridMultilevel"/>
    <w:tmpl w:val="6D6098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3C78DE"/>
    <w:multiLevelType w:val="hybridMultilevel"/>
    <w:tmpl w:val="029EB512"/>
    <w:lvl w:ilvl="0" w:tplc="35CC64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9C2114"/>
    <w:multiLevelType w:val="hybridMultilevel"/>
    <w:tmpl w:val="2668A70A"/>
    <w:lvl w:ilvl="0" w:tplc="A70C03FC">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2D5F3C"/>
    <w:multiLevelType w:val="hybridMultilevel"/>
    <w:tmpl w:val="B6CAFBA4"/>
    <w:lvl w:ilvl="0" w:tplc="A70C03FC">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83179D"/>
    <w:multiLevelType w:val="hybridMultilevel"/>
    <w:tmpl w:val="593A6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35766B"/>
    <w:multiLevelType w:val="hybridMultilevel"/>
    <w:tmpl w:val="678A9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1E5C2F"/>
    <w:multiLevelType w:val="hybridMultilevel"/>
    <w:tmpl w:val="99304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A553C8"/>
    <w:multiLevelType w:val="hybridMultilevel"/>
    <w:tmpl w:val="E1A03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BE11C0"/>
    <w:multiLevelType w:val="hybridMultilevel"/>
    <w:tmpl w:val="520E3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CE5DEB"/>
    <w:multiLevelType w:val="hybridMultilevel"/>
    <w:tmpl w:val="BB2C3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1D3204"/>
    <w:multiLevelType w:val="hybridMultilevel"/>
    <w:tmpl w:val="FC6097F2"/>
    <w:lvl w:ilvl="0" w:tplc="9B60221E">
      <w:start w:val="1"/>
      <w:numFmt w:val="bullet"/>
      <w:lvlText w:val="•"/>
      <w:lvlJc w:val="left"/>
      <w:pPr>
        <w:tabs>
          <w:tab w:val="num" w:pos="720"/>
        </w:tabs>
        <w:ind w:left="720" w:hanging="360"/>
      </w:pPr>
      <w:rPr>
        <w:rFonts w:ascii="Calibri" w:hAnsi="Calibri" w:hint="default"/>
      </w:rPr>
    </w:lvl>
    <w:lvl w:ilvl="1" w:tplc="9732FA18">
      <w:start w:val="1"/>
      <w:numFmt w:val="bullet"/>
      <w:lvlText w:val=""/>
      <w:lvlJc w:val="left"/>
      <w:pPr>
        <w:tabs>
          <w:tab w:val="num" w:pos="1440"/>
        </w:tabs>
        <w:ind w:left="1440" w:hanging="360"/>
      </w:pPr>
      <w:rPr>
        <w:rFonts w:ascii="Symbol" w:hAnsi="Symbol" w:hint="default"/>
        <w:color w:val="auto"/>
      </w:rPr>
    </w:lvl>
    <w:lvl w:ilvl="2" w:tplc="DD72139E" w:tentative="1">
      <w:start w:val="1"/>
      <w:numFmt w:val="bullet"/>
      <w:lvlText w:val="•"/>
      <w:lvlJc w:val="left"/>
      <w:pPr>
        <w:tabs>
          <w:tab w:val="num" w:pos="2160"/>
        </w:tabs>
        <w:ind w:left="2160" w:hanging="360"/>
      </w:pPr>
      <w:rPr>
        <w:rFonts w:ascii="Calibri" w:hAnsi="Calibri" w:hint="default"/>
      </w:rPr>
    </w:lvl>
    <w:lvl w:ilvl="3" w:tplc="153A989C" w:tentative="1">
      <w:start w:val="1"/>
      <w:numFmt w:val="bullet"/>
      <w:lvlText w:val="•"/>
      <w:lvlJc w:val="left"/>
      <w:pPr>
        <w:tabs>
          <w:tab w:val="num" w:pos="2880"/>
        </w:tabs>
        <w:ind w:left="2880" w:hanging="360"/>
      </w:pPr>
      <w:rPr>
        <w:rFonts w:ascii="Calibri" w:hAnsi="Calibri" w:hint="default"/>
      </w:rPr>
    </w:lvl>
    <w:lvl w:ilvl="4" w:tplc="22FEE182" w:tentative="1">
      <w:start w:val="1"/>
      <w:numFmt w:val="bullet"/>
      <w:lvlText w:val="•"/>
      <w:lvlJc w:val="left"/>
      <w:pPr>
        <w:tabs>
          <w:tab w:val="num" w:pos="3600"/>
        </w:tabs>
        <w:ind w:left="3600" w:hanging="360"/>
      </w:pPr>
      <w:rPr>
        <w:rFonts w:ascii="Calibri" w:hAnsi="Calibri" w:hint="default"/>
      </w:rPr>
    </w:lvl>
    <w:lvl w:ilvl="5" w:tplc="EE4A3502" w:tentative="1">
      <w:start w:val="1"/>
      <w:numFmt w:val="bullet"/>
      <w:lvlText w:val="•"/>
      <w:lvlJc w:val="left"/>
      <w:pPr>
        <w:tabs>
          <w:tab w:val="num" w:pos="4320"/>
        </w:tabs>
        <w:ind w:left="4320" w:hanging="360"/>
      </w:pPr>
      <w:rPr>
        <w:rFonts w:ascii="Calibri" w:hAnsi="Calibri" w:hint="default"/>
      </w:rPr>
    </w:lvl>
    <w:lvl w:ilvl="6" w:tplc="E7F0A9FA" w:tentative="1">
      <w:start w:val="1"/>
      <w:numFmt w:val="bullet"/>
      <w:lvlText w:val="•"/>
      <w:lvlJc w:val="left"/>
      <w:pPr>
        <w:tabs>
          <w:tab w:val="num" w:pos="5040"/>
        </w:tabs>
        <w:ind w:left="5040" w:hanging="360"/>
      </w:pPr>
      <w:rPr>
        <w:rFonts w:ascii="Calibri" w:hAnsi="Calibri" w:hint="default"/>
      </w:rPr>
    </w:lvl>
    <w:lvl w:ilvl="7" w:tplc="74822E52" w:tentative="1">
      <w:start w:val="1"/>
      <w:numFmt w:val="bullet"/>
      <w:lvlText w:val="•"/>
      <w:lvlJc w:val="left"/>
      <w:pPr>
        <w:tabs>
          <w:tab w:val="num" w:pos="5760"/>
        </w:tabs>
        <w:ind w:left="5760" w:hanging="360"/>
      </w:pPr>
      <w:rPr>
        <w:rFonts w:ascii="Calibri" w:hAnsi="Calibri" w:hint="default"/>
      </w:rPr>
    </w:lvl>
    <w:lvl w:ilvl="8" w:tplc="4B1023B6" w:tentative="1">
      <w:start w:val="1"/>
      <w:numFmt w:val="bullet"/>
      <w:lvlText w:val="•"/>
      <w:lvlJc w:val="left"/>
      <w:pPr>
        <w:tabs>
          <w:tab w:val="num" w:pos="6480"/>
        </w:tabs>
        <w:ind w:left="6480" w:hanging="360"/>
      </w:pPr>
      <w:rPr>
        <w:rFonts w:ascii="Calibri" w:hAnsi="Calibri" w:hint="default"/>
      </w:rPr>
    </w:lvl>
  </w:abstractNum>
  <w:abstractNum w:abstractNumId="11">
    <w:nsid w:val="59CD5032"/>
    <w:multiLevelType w:val="hybridMultilevel"/>
    <w:tmpl w:val="B5C27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1A2811"/>
    <w:multiLevelType w:val="hybridMultilevel"/>
    <w:tmpl w:val="C2F2613A"/>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nsid w:val="713D77B4"/>
    <w:multiLevelType w:val="hybridMultilevel"/>
    <w:tmpl w:val="15D84E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5911CE2"/>
    <w:multiLevelType w:val="hybridMultilevel"/>
    <w:tmpl w:val="1E96BEF4"/>
    <w:lvl w:ilvl="0" w:tplc="A70C03FC">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2"/>
  </w:num>
  <w:num w:numId="4">
    <w:abstractNumId w:val="0"/>
  </w:num>
  <w:num w:numId="5">
    <w:abstractNumId w:val="7"/>
  </w:num>
  <w:num w:numId="6">
    <w:abstractNumId w:val="14"/>
  </w:num>
  <w:num w:numId="7">
    <w:abstractNumId w:val="10"/>
  </w:num>
  <w:num w:numId="8">
    <w:abstractNumId w:val="5"/>
  </w:num>
  <w:num w:numId="9">
    <w:abstractNumId w:val="8"/>
  </w:num>
  <w:num w:numId="10">
    <w:abstractNumId w:val="1"/>
  </w:num>
  <w:num w:numId="11">
    <w:abstractNumId w:val="11"/>
  </w:num>
  <w:num w:numId="12">
    <w:abstractNumId w:val="13"/>
  </w:num>
  <w:num w:numId="13">
    <w:abstractNumId w:val="9"/>
  </w:num>
  <w:num w:numId="14">
    <w:abstractNumId w:val="2"/>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7650"/>
  </w:hdrShapeDefaults>
  <w:footnotePr>
    <w:footnote w:id="0"/>
    <w:footnote w:id="1"/>
  </w:footnotePr>
  <w:endnotePr>
    <w:endnote w:id="0"/>
    <w:endnote w:id="1"/>
  </w:endnotePr>
  <w:compat/>
  <w:rsids>
    <w:rsidRoot w:val="00104BAE"/>
    <w:rsid w:val="00025A30"/>
    <w:rsid w:val="000350E8"/>
    <w:rsid w:val="00044A78"/>
    <w:rsid w:val="000743DB"/>
    <w:rsid w:val="00080D6C"/>
    <w:rsid w:val="000A0446"/>
    <w:rsid w:val="000A71DB"/>
    <w:rsid w:val="000C573C"/>
    <w:rsid w:val="000D7BC4"/>
    <w:rsid w:val="00104BAE"/>
    <w:rsid w:val="00133387"/>
    <w:rsid w:val="00143491"/>
    <w:rsid w:val="0018244F"/>
    <w:rsid w:val="00187C98"/>
    <w:rsid w:val="001A4C78"/>
    <w:rsid w:val="001A54B1"/>
    <w:rsid w:val="001B140D"/>
    <w:rsid w:val="001B4585"/>
    <w:rsid w:val="001D2A63"/>
    <w:rsid w:val="002054F2"/>
    <w:rsid w:val="00212A08"/>
    <w:rsid w:val="00216924"/>
    <w:rsid w:val="002266DC"/>
    <w:rsid w:val="00231EF6"/>
    <w:rsid w:val="0023584C"/>
    <w:rsid w:val="0024368C"/>
    <w:rsid w:val="002557F1"/>
    <w:rsid w:val="00272D3B"/>
    <w:rsid w:val="00281D11"/>
    <w:rsid w:val="00292128"/>
    <w:rsid w:val="002A340E"/>
    <w:rsid w:val="002A39AC"/>
    <w:rsid w:val="002A766B"/>
    <w:rsid w:val="002B7304"/>
    <w:rsid w:val="002C6CC4"/>
    <w:rsid w:val="002D4EDD"/>
    <w:rsid w:val="002E56CE"/>
    <w:rsid w:val="003110BE"/>
    <w:rsid w:val="003333A5"/>
    <w:rsid w:val="00336BF5"/>
    <w:rsid w:val="003446E7"/>
    <w:rsid w:val="00367C73"/>
    <w:rsid w:val="00374803"/>
    <w:rsid w:val="0038554A"/>
    <w:rsid w:val="003A33AC"/>
    <w:rsid w:val="003A3B8D"/>
    <w:rsid w:val="003A6E32"/>
    <w:rsid w:val="003F4F1E"/>
    <w:rsid w:val="0040550F"/>
    <w:rsid w:val="004218A6"/>
    <w:rsid w:val="00435BC2"/>
    <w:rsid w:val="00441173"/>
    <w:rsid w:val="00442211"/>
    <w:rsid w:val="00450342"/>
    <w:rsid w:val="00460092"/>
    <w:rsid w:val="004636C7"/>
    <w:rsid w:val="00463A60"/>
    <w:rsid w:val="00466F65"/>
    <w:rsid w:val="004679FF"/>
    <w:rsid w:val="0047448E"/>
    <w:rsid w:val="004814F2"/>
    <w:rsid w:val="00484ACA"/>
    <w:rsid w:val="004A0BD5"/>
    <w:rsid w:val="004A3D03"/>
    <w:rsid w:val="004B0B42"/>
    <w:rsid w:val="004C388E"/>
    <w:rsid w:val="004D56B6"/>
    <w:rsid w:val="005459B2"/>
    <w:rsid w:val="0057417B"/>
    <w:rsid w:val="005C3AE0"/>
    <w:rsid w:val="005D3D4C"/>
    <w:rsid w:val="005D75CD"/>
    <w:rsid w:val="005E1A3B"/>
    <w:rsid w:val="005E357D"/>
    <w:rsid w:val="005E4D2C"/>
    <w:rsid w:val="005E7D10"/>
    <w:rsid w:val="005F274A"/>
    <w:rsid w:val="005F6B7E"/>
    <w:rsid w:val="00626B56"/>
    <w:rsid w:val="006334D9"/>
    <w:rsid w:val="0065218C"/>
    <w:rsid w:val="006A7F12"/>
    <w:rsid w:val="006B7A63"/>
    <w:rsid w:val="006C38DA"/>
    <w:rsid w:val="006C3FB3"/>
    <w:rsid w:val="006D2029"/>
    <w:rsid w:val="006D7417"/>
    <w:rsid w:val="006E01AB"/>
    <w:rsid w:val="006E1F1F"/>
    <w:rsid w:val="007003FD"/>
    <w:rsid w:val="0070697C"/>
    <w:rsid w:val="00710307"/>
    <w:rsid w:val="007134DC"/>
    <w:rsid w:val="00761567"/>
    <w:rsid w:val="007650C3"/>
    <w:rsid w:val="00771DE5"/>
    <w:rsid w:val="007745CB"/>
    <w:rsid w:val="00774816"/>
    <w:rsid w:val="007850A6"/>
    <w:rsid w:val="00787159"/>
    <w:rsid w:val="007A7DA9"/>
    <w:rsid w:val="007B13A6"/>
    <w:rsid w:val="007B7D2E"/>
    <w:rsid w:val="007D7202"/>
    <w:rsid w:val="007E04BB"/>
    <w:rsid w:val="007E66AA"/>
    <w:rsid w:val="007F17C8"/>
    <w:rsid w:val="007F55FD"/>
    <w:rsid w:val="0081063B"/>
    <w:rsid w:val="00820121"/>
    <w:rsid w:val="00852112"/>
    <w:rsid w:val="00857D5F"/>
    <w:rsid w:val="0086605E"/>
    <w:rsid w:val="00867B6D"/>
    <w:rsid w:val="00872412"/>
    <w:rsid w:val="00877E99"/>
    <w:rsid w:val="008A5FFB"/>
    <w:rsid w:val="008B59B5"/>
    <w:rsid w:val="008D691E"/>
    <w:rsid w:val="008E53A2"/>
    <w:rsid w:val="008F055B"/>
    <w:rsid w:val="008F6F81"/>
    <w:rsid w:val="00917C0C"/>
    <w:rsid w:val="00923883"/>
    <w:rsid w:val="00930A5B"/>
    <w:rsid w:val="009361A9"/>
    <w:rsid w:val="009374C6"/>
    <w:rsid w:val="0094491F"/>
    <w:rsid w:val="00961BCA"/>
    <w:rsid w:val="009909BE"/>
    <w:rsid w:val="0099326E"/>
    <w:rsid w:val="009A0A1C"/>
    <w:rsid w:val="009B095C"/>
    <w:rsid w:val="009B3DFC"/>
    <w:rsid w:val="009C3FA7"/>
    <w:rsid w:val="009C7C82"/>
    <w:rsid w:val="009F36B9"/>
    <w:rsid w:val="009F54F9"/>
    <w:rsid w:val="00A03737"/>
    <w:rsid w:val="00A1127E"/>
    <w:rsid w:val="00A15B83"/>
    <w:rsid w:val="00A30A58"/>
    <w:rsid w:val="00A37C51"/>
    <w:rsid w:val="00A40B41"/>
    <w:rsid w:val="00A56E1D"/>
    <w:rsid w:val="00A668DF"/>
    <w:rsid w:val="00A716AE"/>
    <w:rsid w:val="00A732A5"/>
    <w:rsid w:val="00A80630"/>
    <w:rsid w:val="00A94922"/>
    <w:rsid w:val="00A952ED"/>
    <w:rsid w:val="00AC2039"/>
    <w:rsid w:val="00AE1DCE"/>
    <w:rsid w:val="00B27554"/>
    <w:rsid w:val="00B47A28"/>
    <w:rsid w:val="00B57FDA"/>
    <w:rsid w:val="00B66F15"/>
    <w:rsid w:val="00B843D4"/>
    <w:rsid w:val="00BA1D7D"/>
    <w:rsid w:val="00BC1324"/>
    <w:rsid w:val="00BD7634"/>
    <w:rsid w:val="00BE3371"/>
    <w:rsid w:val="00C10D78"/>
    <w:rsid w:val="00C11BC7"/>
    <w:rsid w:val="00C133F2"/>
    <w:rsid w:val="00C2147E"/>
    <w:rsid w:val="00C21F86"/>
    <w:rsid w:val="00C30D0A"/>
    <w:rsid w:val="00C75D24"/>
    <w:rsid w:val="00C857E8"/>
    <w:rsid w:val="00C91101"/>
    <w:rsid w:val="00C92B11"/>
    <w:rsid w:val="00C97490"/>
    <w:rsid w:val="00CA3B38"/>
    <w:rsid w:val="00CC716B"/>
    <w:rsid w:val="00CE6971"/>
    <w:rsid w:val="00CF3C5D"/>
    <w:rsid w:val="00D04165"/>
    <w:rsid w:val="00D1030D"/>
    <w:rsid w:val="00D46581"/>
    <w:rsid w:val="00DA17DD"/>
    <w:rsid w:val="00DA72A4"/>
    <w:rsid w:val="00DC56A0"/>
    <w:rsid w:val="00DD1EED"/>
    <w:rsid w:val="00DD5BD5"/>
    <w:rsid w:val="00DE13C9"/>
    <w:rsid w:val="00DF037C"/>
    <w:rsid w:val="00DF2ABB"/>
    <w:rsid w:val="00DF3ED5"/>
    <w:rsid w:val="00DF56F1"/>
    <w:rsid w:val="00E0266B"/>
    <w:rsid w:val="00E10D43"/>
    <w:rsid w:val="00E20BAE"/>
    <w:rsid w:val="00E23403"/>
    <w:rsid w:val="00E2494A"/>
    <w:rsid w:val="00E32B5B"/>
    <w:rsid w:val="00E376F6"/>
    <w:rsid w:val="00E65802"/>
    <w:rsid w:val="00E86A12"/>
    <w:rsid w:val="00E96A7A"/>
    <w:rsid w:val="00EC086A"/>
    <w:rsid w:val="00EC3517"/>
    <w:rsid w:val="00EC3C44"/>
    <w:rsid w:val="00ED1642"/>
    <w:rsid w:val="00ED1BE2"/>
    <w:rsid w:val="00ED1DEB"/>
    <w:rsid w:val="00ED6184"/>
    <w:rsid w:val="00EE41A4"/>
    <w:rsid w:val="00EF6E79"/>
    <w:rsid w:val="00F00EE8"/>
    <w:rsid w:val="00F03B52"/>
    <w:rsid w:val="00F215FA"/>
    <w:rsid w:val="00F4196F"/>
    <w:rsid w:val="00F505E6"/>
    <w:rsid w:val="00F5344C"/>
    <w:rsid w:val="00F72186"/>
    <w:rsid w:val="00F72D92"/>
    <w:rsid w:val="00F761AA"/>
    <w:rsid w:val="00F848B1"/>
    <w:rsid w:val="00FA5A2D"/>
    <w:rsid w:val="00FB2D84"/>
    <w:rsid w:val="00FC268A"/>
    <w:rsid w:val="00FD01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04BAE"/>
    <w:pPr>
      <w:spacing w:before="300" w:after="40" w:line="276" w:lineRule="auto"/>
    </w:pPr>
    <w:rPr>
      <w:sz w:val="22"/>
      <w:szCs w:val="22"/>
    </w:rPr>
  </w:style>
  <w:style w:type="paragraph" w:styleId="Heading1">
    <w:name w:val="heading 1"/>
    <w:basedOn w:val="Normal"/>
    <w:next w:val="Normal"/>
    <w:qFormat/>
    <w:rsid w:val="007B13A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BAE"/>
    <w:pPr>
      <w:ind w:left="720"/>
      <w:contextualSpacing/>
    </w:pPr>
  </w:style>
  <w:style w:type="character" w:styleId="Hyperlink">
    <w:name w:val="Hyperlink"/>
    <w:basedOn w:val="DefaultParagraphFont"/>
    <w:uiPriority w:val="99"/>
    <w:semiHidden/>
    <w:unhideWhenUsed/>
    <w:rsid w:val="00C2147E"/>
    <w:rPr>
      <w:color w:val="0000FF"/>
      <w:u w:val="single"/>
    </w:rPr>
  </w:style>
  <w:style w:type="paragraph" w:styleId="BalloonText">
    <w:name w:val="Balloon Text"/>
    <w:basedOn w:val="Normal"/>
    <w:link w:val="BalloonTextChar"/>
    <w:uiPriority w:val="99"/>
    <w:semiHidden/>
    <w:unhideWhenUsed/>
    <w:rsid w:val="009361A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1A9"/>
    <w:rPr>
      <w:rFonts w:ascii="Tahoma" w:hAnsi="Tahoma" w:cs="Tahoma"/>
      <w:sz w:val="16"/>
      <w:szCs w:val="16"/>
    </w:rPr>
  </w:style>
  <w:style w:type="paragraph" w:styleId="Header">
    <w:name w:val="header"/>
    <w:basedOn w:val="Normal"/>
    <w:link w:val="HeaderChar"/>
    <w:uiPriority w:val="99"/>
    <w:semiHidden/>
    <w:unhideWhenUsed/>
    <w:rsid w:val="00DA17DD"/>
    <w:pPr>
      <w:tabs>
        <w:tab w:val="center" w:pos="4680"/>
        <w:tab w:val="right" w:pos="9360"/>
      </w:tabs>
    </w:pPr>
  </w:style>
  <w:style w:type="character" w:customStyle="1" w:styleId="HeaderChar">
    <w:name w:val="Header Char"/>
    <w:basedOn w:val="DefaultParagraphFont"/>
    <w:link w:val="Header"/>
    <w:uiPriority w:val="99"/>
    <w:semiHidden/>
    <w:rsid w:val="00DA17DD"/>
    <w:rPr>
      <w:sz w:val="22"/>
      <w:szCs w:val="22"/>
    </w:rPr>
  </w:style>
  <w:style w:type="paragraph" w:styleId="Footer">
    <w:name w:val="footer"/>
    <w:basedOn w:val="Normal"/>
    <w:link w:val="FooterChar"/>
    <w:uiPriority w:val="99"/>
    <w:unhideWhenUsed/>
    <w:rsid w:val="00DA17DD"/>
    <w:pPr>
      <w:tabs>
        <w:tab w:val="center" w:pos="4680"/>
        <w:tab w:val="right" w:pos="9360"/>
      </w:tabs>
    </w:pPr>
  </w:style>
  <w:style w:type="character" w:customStyle="1" w:styleId="FooterChar">
    <w:name w:val="Footer Char"/>
    <w:basedOn w:val="DefaultParagraphFont"/>
    <w:link w:val="Footer"/>
    <w:uiPriority w:val="99"/>
    <w:rsid w:val="00DA17DD"/>
    <w:rPr>
      <w:sz w:val="22"/>
      <w:szCs w:val="22"/>
    </w:rPr>
  </w:style>
  <w:style w:type="character" w:styleId="CommentReference">
    <w:name w:val="annotation reference"/>
    <w:basedOn w:val="DefaultParagraphFont"/>
    <w:uiPriority w:val="99"/>
    <w:semiHidden/>
    <w:unhideWhenUsed/>
    <w:rsid w:val="005D75CD"/>
    <w:rPr>
      <w:sz w:val="16"/>
      <w:szCs w:val="16"/>
    </w:rPr>
  </w:style>
  <w:style w:type="paragraph" w:styleId="CommentText">
    <w:name w:val="annotation text"/>
    <w:basedOn w:val="Normal"/>
    <w:link w:val="CommentTextChar"/>
    <w:uiPriority w:val="99"/>
    <w:semiHidden/>
    <w:unhideWhenUsed/>
    <w:rsid w:val="005D75CD"/>
    <w:rPr>
      <w:sz w:val="20"/>
      <w:szCs w:val="20"/>
    </w:rPr>
  </w:style>
  <w:style w:type="character" w:customStyle="1" w:styleId="CommentTextChar">
    <w:name w:val="Comment Text Char"/>
    <w:basedOn w:val="DefaultParagraphFont"/>
    <w:link w:val="CommentText"/>
    <w:uiPriority w:val="99"/>
    <w:semiHidden/>
    <w:rsid w:val="005D75CD"/>
  </w:style>
  <w:style w:type="paragraph" w:styleId="CommentSubject">
    <w:name w:val="annotation subject"/>
    <w:basedOn w:val="CommentText"/>
    <w:next w:val="CommentText"/>
    <w:link w:val="CommentSubjectChar"/>
    <w:uiPriority w:val="99"/>
    <w:semiHidden/>
    <w:unhideWhenUsed/>
    <w:rsid w:val="005D75CD"/>
    <w:rPr>
      <w:b/>
      <w:bCs/>
    </w:rPr>
  </w:style>
  <w:style w:type="character" w:customStyle="1" w:styleId="CommentSubjectChar">
    <w:name w:val="Comment Subject Char"/>
    <w:basedOn w:val="CommentTextChar"/>
    <w:link w:val="CommentSubject"/>
    <w:uiPriority w:val="99"/>
    <w:semiHidden/>
    <w:rsid w:val="005D75CD"/>
    <w:rPr>
      <w:b/>
      <w:bCs/>
    </w:rPr>
  </w:style>
  <w:style w:type="paragraph" w:styleId="TOCHeading">
    <w:name w:val="TOC Heading"/>
    <w:basedOn w:val="Heading1"/>
    <w:next w:val="Normal"/>
    <w:qFormat/>
    <w:rsid w:val="007B13A6"/>
    <w:pPr>
      <w:keepLines/>
      <w:spacing w:before="0" w:after="200"/>
      <w:outlineLvl w:val="9"/>
    </w:pPr>
    <w:rPr>
      <w:rFonts w:ascii="Cambria" w:eastAsia="Times New Roman" w:hAnsi="Cambria" w:cs="Times New Roman"/>
      <w:noProof/>
      <w:color w:val="365F91"/>
      <w:kern w:val="0"/>
      <w:sz w:val="28"/>
      <w:szCs w:val="28"/>
    </w:rPr>
  </w:style>
  <w:style w:type="paragraph" w:styleId="NoSpacing">
    <w:name w:val="No Spacing"/>
    <w:link w:val="NoSpacingChar"/>
    <w:qFormat/>
    <w:rsid w:val="007B13A6"/>
    <w:rPr>
      <w:sz w:val="22"/>
      <w:szCs w:val="22"/>
      <w:lang w:val="sw-KE"/>
    </w:rPr>
  </w:style>
  <w:style w:type="character" w:customStyle="1" w:styleId="NoSpacingChar">
    <w:name w:val="No Spacing Char"/>
    <w:basedOn w:val="DefaultParagraphFont"/>
    <w:link w:val="NoSpacing"/>
    <w:rsid w:val="007B13A6"/>
    <w:rPr>
      <w:sz w:val="22"/>
      <w:szCs w:val="22"/>
      <w:lang w:val="sw-KE" w:eastAsia="en-US" w:bidi="ar-SA"/>
    </w:rPr>
  </w:style>
  <w:style w:type="paragraph" w:styleId="FootnoteText">
    <w:name w:val="footnote text"/>
    <w:basedOn w:val="Normal"/>
    <w:semiHidden/>
    <w:rsid w:val="006B7A63"/>
    <w:rPr>
      <w:sz w:val="20"/>
      <w:szCs w:val="20"/>
    </w:rPr>
  </w:style>
  <w:style w:type="character" w:styleId="FootnoteReference">
    <w:name w:val="footnote reference"/>
    <w:basedOn w:val="DefaultParagraphFont"/>
    <w:semiHidden/>
    <w:rsid w:val="006B7A6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7D517-56C6-45AD-A1E8-FE7BD975A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2095</Words>
  <Characters>11945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CONCEPT PAPER ON THE CLUSTER APPROACH IN KENYA</vt:lpstr>
    </vt:vector>
  </TitlesOfParts>
  <Company>The World Bank Group</Company>
  <LinksUpToDate>false</LinksUpToDate>
  <CharactersWithSpaces>14012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PAPER ON THE CLUSTER APPROACH IN KENYA</dc:title>
  <dc:creator>Mutuku Dennis</dc:creator>
  <cp:lastModifiedBy>user</cp:lastModifiedBy>
  <cp:revision>2</cp:revision>
  <cp:lastPrinted>2011-01-17T06:47:00Z</cp:lastPrinted>
  <dcterms:created xsi:type="dcterms:W3CDTF">2011-01-20T06:14:00Z</dcterms:created>
  <dcterms:modified xsi:type="dcterms:W3CDTF">2011-01-20T06:14:00Z</dcterms:modified>
</cp:coreProperties>
</file>